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B2" w:rsidRDefault="00EB7BB2" w:rsidP="0024037B">
      <w:pPr>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228</wp:posOffset>
            </wp:positionV>
            <wp:extent cx="628015" cy="616585"/>
            <wp:effectExtent l="0" t="0" r="635" b="0"/>
            <wp:wrapTight wrapText="bothSides">
              <wp:wrapPolygon edited="0">
                <wp:start x="0" y="0"/>
                <wp:lineTo x="0" y="20688"/>
                <wp:lineTo x="20967" y="20688"/>
                <wp:lineTo x="20967" y="0"/>
                <wp:lineTo x="0" y="0"/>
              </wp:wrapPolygon>
            </wp:wrapTight>
            <wp:docPr id="1" name="Picture 1"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0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t>KS2 Data 2016-2017</w:t>
      </w:r>
    </w:p>
    <w:p w:rsidR="0024037B" w:rsidRDefault="0024037B" w:rsidP="0024037B">
      <w:pPr>
        <w:jc w:val="center"/>
      </w:pPr>
      <w:r>
        <w:t>September 2017</w:t>
      </w:r>
      <w:bookmarkStart w:id="0" w:name="_GoBack"/>
      <w:bookmarkEnd w:id="0"/>
    </w:p>
    <w:p w:rsidR="00EB7BB2" w:rsidRPr="00425C89" w:rsidRDefault="00EB7BB2" w:rsidP="00EB7BB2">
      <w:pPr>
        <w:jc w:val="center"/>
        <w:rPr>
          <w:sz w:val="4"/>
          <w:szCs w:val="4"/>
        </w:rPr>
      </w:pPr>
    </w:p>
    <w:p w:rsidR="000A5094" w:rsidRDefault="00105310" w:rsidP="000A5094">
      <w:r>
        <w:t>In 2016</w:t>
      </w:r>
      <w:r w:rsidR="000A5094">
        <w:t xml:space="preserve"> 53% of pupils nationally reached the expected standard</w:t>
      </w:r>
      <w:r w:rsidR="00CA3D42">
        <w:t xml:space="preserve"> in reading writing and maths</w:t>
      </w:r>
      <w:r w:rsidR="000A5094">
        <w:t>, 64% of pupils at Wentworth.</w:t>
      </w:r>
    </w:p>
    <w:p w:rsidR="000A5094" w:rsidRDefault="000A5094" w:rsidP="00694F99">
      <w:r>
        <w:t>In</w:t>
      </w:r>
      <w:r w:rsidR="00CA3D42">
        <w:t xml:space="preserve"> 2017 </w:t>
      </w:r>
      <w:r>
        <w:t>61% of pupils nationally reached the expected standard</w:t>
      </w:r>
      <w:r w:rsidR="00CA3D42" w:rsidRPr="00CA3D42">
        <w:t xml:space="preserve"> </w:t>
      </w:r>
      <w:r w:rsidR="00CA3D42">
        <w:t>in reading writing and maths</w:t>
      </w:r>
      <w:r>
        <w:t>, 76%</w:t>
      </w:r>
      <w:r w:rsidR="00AE4D20">
        <w:t xml:space="preserve"> </w:t>
      </w:r>
      <w:r>
        <w:t>of pupils at Wentworth</w:t>
      </w:r>
      <w:r w:rsidR="00CA3D42">
        <w:t xml:space="preserve"> an increase of </w:t>
      </w:r>
      <w:r w:rsidR="00BC6A70">
        <w:t>12% and 15% higher than national</w:t>
      </w:r>
      <w:r>
        <w:t>.</w:t>
      </w:r>
      <w:r w:rsidR="00BC6A70">
        <w:t xml:space="preserve"> At the higher standard Wentworth reached 8% in 2017 and 7% in 2016, an increase of 1%.</w:t>
      </w:r>
    </w:p>
    <w:p w:rsidR="00EB7BB2" w:rsidRDefault="00EB7BB2" w:rsidP="000A5094">
      <w:r>
        <w:t>Key Stage 2 attainment by subject</w:t>
      </w:r>
    </w:p>
    <w:tbl>
      <w:tblPr>
        <w:tblStyle w:val="TableGrid"/>
        <w:tblW w:w="0" w:type="auto"/>
        <w:tblLook w:val="04A0" w:firstRow="1" w:lastRow="0" w:firstColumn="1" w:lastColumn="0" w:noHBand="0" w:noVBand="1"/>
      </w:tblPr>
      <w:tblGrid>
        <w:gridCol w:w="705"/>
        <w:gridCol w:w="705"/>
        <w:gridCol w:w="665"/>
        <w:gridCol w:w="745"/>
        <w:gridCol w:w="705"/>
        <w:gridCol w:w="705"/>
        <w:gridCol w:w="13"/>
        <w:gridCol w:w="692"/>
        <w:gridCol w:w="705"/>
        <w:gridCol w:w="707"/>
        <w:gridCol w:w="705"/>
        <w:gridCol w:w="705"/>
        <w:gridCol w:w="706"/>
      </w:tblGrid>
      <w:tr w:rsidR="00EB7BB2" w:rsidTr="000A5094">
        <w:trPr>
          <w:trHeight w:val="279"/>
        </w:trPr>
        <w:tc>
          <w:tcPr>
            <w:tcW w:w="2075" w:type="dxa"/>
            <w:gridSpan w:val="3"/>
          </w:tcPr>
          <w:p w:rsidR="00EB7BB2" w:rsidRDefault="00EB7BB2" w:rsidP="00EB7BB2">
            <w:r>
              <w:t>Reading</w:t>
            </w:r>
          </w:p>
        </w:tc>
        <w:tc>
          <w:tcPr>
            <w:tcW w:w="2168" w:type="dxa"/>
            <w:gridSpan w:val="4"/>
            <w:shd w:val="clear" w:color="auto" w:fill="DEEAF6" w:themeFill="accent1" w:themeFillTint="33"/>
          </w:tcPr>
          <w:p w:rsidR="00EB7BB2" w:rsidRDefault="00EB7BB2" w:rsidP="00EB7BB2">
            <w:r>
              <w:t>Mathematics</w:t>
            </w:r>
          </w:p>
        </w:tc>
        <w:tc>
          <w:tcPr>
            <w:tcW w:w="2104" w:type="dxa"/>
            <w:gridSpan w:val="3"/>
          </w:tcPr>
          <w:p w:rsidR="00EB7BB2" w:rsidRDefault="00EB7BB2" w:rsidP="00EB7BB2">
            <w:r>
              <w:t>Grammar, punctuation and spelling</w:t>
            </w:r>
          </w:p>
        </w:tc>
        <w:tc>
          <w:tcPr>
            <w:tcW w:w="2116" w:type="dxa"/>
            <w:gridSpan w:val="3"/>
            <w:shd w:val="clear" w:color="auto" w:fill="DEEAF6" w:themeFill="accent1" w:themeFillTint="33"/>
          </w:tcPr>
          <w:p w:rsidR="00EB7BB2" w:rsidRDefault="00EB7BB2" w:rsidP="00EB7BB2">
            <w:r>
              <w:t>Writing teacher assessment</w:t>
            </w:r>
          </w:p>
        </w:tc>
      </w:tr>
      <w:tr w:rsidR="000A5094" w:rsidTr="00A03174">
        <w:trPr>
          <w:trHeight w:val="279"/>
        </w:trPr>
        <w:tc>
          <w:tcPr>
            <w:tcW w:w="8463" w:type="dxa"/>
            <w:gridSpan w:val="13"/>
          </w:tcPr>
          <w:p w:rsidR="000A5094" w:rsidRPr="00EB7BB2" w:rsidRDefault="000A5094" w:rsidP="000A5094">
            <w:pPr>
              <w:rPr>
                <w:sz w:val="12"/>
                <w:szCs w:val="12"/>
              </w:rPr>
            </w:pPr>
            <w:r w:rsidRPr="000A5094">
              <w:rPr>
                <w:sz w:val="18"/>
                <w:szCs w:val="18"/>
              </w:rPr>
              <w:t>Reaching the expected standard</w:t>
            </w:r>
          </w:p>
        </w:tc>
      </w:tr>
      <w:tr w:rsidR="000A5094" w:rsidTr="000A5094">
        <w:trPr>
          <w:trHeight w:val="279"/>
        </w:trPr>
        <w:tc>
          <w:tcPr>
            <w:tcW w:w="705" w:type="dxa"/>
          </w:tcPr>
          <w:p w:rsidR="000A5094" w:rsidRPr="000A5094" w:rsidRDefault="000A5094" w:rsidP="000A5094">
            <w:pPr>
              <w:rPr>
                <w:b/>
                <w:bCs/>
              </w:rPr>
            </w:pPr>
            <w:r w:rsidRPr="000A5094">
              <w:rPr>
                <w:b/>
                <w:bCs/>
              </w:rPr>
              <w:t>2016</w:t>
            </w:r>
          </w:p>
        </w:tc>
        <w:tc>
          <w:tcPr>
            <w:tcW w:w="705" w:type="dxa"/>
          </w:tcPr>
          <w:p w:rsidR="000A5094" w:rsidRPr="000A5094" w:rsidRDefault="000A5094" w:rsidP="000A5094">
            <w:pPr>
              <w:rPr>
                <w:b/>
                <w:bCs/>
              </w:rPr>
            </w:pPr>
            <w:r w:rsidRPr="000A5094">
              <w:rPr>
                <w:b/>
                <w:bCs/>
              </w:rPr>
              <w:t>2017</w:t>
            </w:r>
          </w:p>
        </w:tc>
        <w:tc>
          <w:tcPr>
            <w:tcW w:w="665" w:type="dxa"/>
          </w:tcPr>
          <w:p w:rsidR="000A5094" w:rsidRPr="000A5094" w:rsidRDefault="000A5094" w:rsidP="000A5094">
            <w:pPr>
              <w:rPr>
                <w:b/>
                <w:bCs/>
              </w:rPr>
            </w:pPr>
            <w:r w:rsidRPr="000A5094">
              <w:rPr>
                <w:b/>
                <w:bCs/>
                <w:sz w:val="12"/>
                <w:szCs w:val="12"/>
              </w:rPr>
              <w:t>2017 National</w:t>
            </w:r>
          </w:p>
        </w:tc>
        <w:tc>
          <w:tcPr>
            <w:tcW w:w="745" w:type="dxa"/>
            <w:shd w:val="clear" w:color="auto" w:fill="DEEAF6" w:themeFill="accent1" w:themeFillTint="33"/>
          </w:tcPr>
          <w:p w:rsidR="000A5094" w:rsidRPr="000A5094" w:rsidRDefault="000A5094" w:rsidP="000A5094">
            <w:pPr>
              <w:rPr>
                <w:b/>
                <w:bCs/>
              </w:rPr>
            </w:pPr>
            <w:r w:rsidRPr="000A5094">
              <w:rPr>
                <w:b/>
                <w:bCs/>
              </w:rPr>
              <w:t>2016</w:t>
            </w:r>
          </w:p>
        </w:tc>
        <w:tc>
          <w:tcPr>
            <w:tcW w:w="705" w:type="dxa"/>
            <w:shd w:val="clear" w:color="auto" w:fill="DEEAF6" w:themeFill="accent1" w:themeFillTint="33"/>
          </w:tcPr>
          <w:p w:rsidR="000A5094" w:rsidRPr="000A5094" w:rsidRDefault="000A5094" w:rsidP="000A5094">
            <w:pPr>
              <w:rPr>
                <w:b/>
                <w:bCs/>
              </w:rPr>
            </w:pPr>
            <w:r w:rsidRPr="000A5094">
              <w:rPr>
                <w:b/>
                <w:bCs/>
              </w:rPr>
              <w:t>2017</w:t>
            </w:r>
          </w:p>
        </w:tc>
        <w:tc>
          <w:tcPr>
            <w:tcW w:w="705" w:type="dxa"/>
            <w:shd w:val="clear" w:color="auto" w:fill="DEEAF6" w:themeFill="accent1" w:themeFillTint="33"/>
          </w:tcPr>
          <w:p w:rsidR="000A5094" w:rsidRPr="000A5094" w:rsidRDefault="000A5094" w:rsidP="000A5094">
            <w:pPr>
              <w:rPr>
                <w:b/>
                <w:bCs/>
              </w:rPr>
            </w:pPr>
            <w:r w:rsidRPr="000A5094">
              <w:rPr>
                <w:b/>
                <w:bCs/>
                <w:sz w:val="12"/>
                <w:szCs w:val="12"/>
              </w:rPr>
              <w:t>2017 National</w:t>
            </w:r>
          </w:p>
        </w:tc>
        <w:tc>
          <w:tcPr>
            <w:tcW w:w="705" w:type="dxa"/>
            <w:gridSpan w:val="2"/>
          </w:tcPr>
          <w:p w:rsidR="000A5094" w:rsidRPr="000A5094" w:rsidRDefault="000A5094" w:rsidP="000A5094">
            <w:pPr>
              <w:rPr>
                <w:b/>
                <w:bCs/>
              </w:rPr>
            </w:pPr>
            <w:r w:rsidRPr="000A5094">
              <w:rPr>
                <w:b/>
                <w:bCs/>
              </w:rPr>
              <w:t>2016</w:t>
            </w:r>
          </w:p>
        </w:tc>
        <w:tc>
          <w:tcPr>
            <w:tcW w:w="705" w:type="dxa"/>
          </w:tcPr>
          <w:p w:rsidR="000A5094" w:rsidRPr="000A5094" w:rsidRDefault="000A5094" w:rsidP="000A5094">
            <w:pPr>
              <w:rPr>
                <w:b/>
                <w:bCs/>
              </w:rPr>
            </w:pPr>
            <w:r w:rsidRPr="000A5094">
              <w:rPr>
                <w:b/>
                <w:bCs/>
              </w:rPr>
              <w:t>2017</w:t>
            </w:r>
          </w:p>
        </w:tc>
        <w:tc>
          <w:tcPr>
            <w:tcW w:w="707" w:type="dxa"/>
          </w:tcPr>
          <w:p w:rsidR="000A5094" w:rsidRPr="000A5094" w:rsidRDefault="000A5094" w:rsidP="000A5094">
            <w:pPr>
              <w:rPr>
                <w:b/>
                <w:bCs/>
              </w:rPr>
            </w:pPr>
            <w:r w:rsidRPr="000A5094">
              <w:rPr>
                <w:b/>
                <w:bCs/>
                <w:sz w:val="12"/>
                <w:szCs w:val="12"/>
              </w:rPr>
              <w:t>2017 National</w:t>
            </w:r>
          </w:p>
        </w:tc>
        <w:tc>
          <w:tcPr>
            <w:tcW w:w="705" w:type="dxa"/>
            <w:shd w:val="clear" w:color="auto" w:fill="DEEAF6" w:themeFill="accent1" w:themeFillTint="33"/>
          </w:tcPr>
          <w:p w:rsidR="000A5094" w:rsidRPr="000A5094" w:rsidRDefault="000A5094" w:rsidP="000A5094">
            <w:pPr>
              <w:rPr>
                <w:b/>
                <w:bCs/>
              </w:rPr>
            </w:pPr>
            <w:r w:rsidRPr="000A5094">
              <w:rPr>
                <w:b/>
                <w:bCs/>
              </w:rPr>
              <w:t>2016</w:t>
            </w:r>
          </w:p>
        </w:tc>
        <w:tc>
          <w:tcPr>
            <w:tcW w:w="705" w:type="dxa"/>
            <w:shd w:val="clear" w:color="auto" w:fill="DEEAF6" w:themeFill="accent1" w:themeFillTint="33"/>
          </w:tcPr>
          <w:p w:rsidR="000A5094" w:rsidRPr="000A5094" w:rsidRDefault="000A5094" w:rsidP="000A5094">
            <w:pPr>
              <w:rPr>
                <w:b/>
                <w:bCs/>
              </w:rPr>
            </w:pPr>
            <w:r w:rsidRPr="000A5094">
              <w:rPr>
                <w:b/>
                <w:bCs/>
              </w:rPr>
              <w:t>2017</w:t>
            </w:r>
          </w:p>
        </w:tc>
        <w:tc>
          <w:tcPr>
            <w:tcW w:w="706" w:type="dxa"/>
            <w:shd w:val="clear" w:color="auto" w:fill="DEEAF6" w:themeFill="accent1" w:themeFillTint="33"/>
          </w:tcPr>
          <w:p w:rsidR="000A5094" w:rsidRPr="000A5094" w:rsidRDefault="000A5094" w:rsidP="000A5094">
            <w:pPr>
              <w:rPr>
                <w:b/>
                <w:bCs/>
              </w:rPr>
            </w:pPr>
            <w:r w:rsidRPr="000A5094">
              <w:rPr>
                <w:b/>
                <w:bCs/>
                <w:sz w:val="12"/>
                <w:szCs w:val="12"/>
              </w:rPr>
              <w:t>2017 National</w:t>
            </w:r>
          </w:p>
        </w:tc>
      </w:tr>
      <w:tr w:rsidR="000A5094" w:rsidTr="000A5094">
        <w:trPr>
          <w:trHeight w:val="279"/>
        </w:trPr>
        <w:tc>
          <w:tcPr>
            <w:tcW w:w="705" w:type="dxa"/>
          </w:tcPr>
          <w:p w:rsidR="000A5094" w:rsidRDefault="000A5094" w:rsidP="000A5094">
            <w:r>
              <w:t>73%</w:t>
            </w:r>
          </w:p>
        </w:tc>
        <w:tc>
          <w:tcPr>
            <w:tcW w:w="705" w:type="dxa"/>
          </w:tcPr>
          <w:p w:rsidR="000A5094" w:rsidRPr="00AE4D20" w:rsidRDefault="000A5094" w:rsidP="00694F99">
            <w:pPr>
              <w:rPr>
                <w:color w:val="FF0000"/>
              </w:rPr>
            </w:pPr>
            <w:r>
              <w:t>81%</w:t>
            </w:r>
          </w:p>
        </w:tc>
        <w:tc>
          <w:tcPr>
            <w:tcW w:w="665" w:type="dxa"/>
          </w:tcPr>
          <w:p w:rsidR="000A5094" w:rsidRDefault="000A5094" w:rsidP="000A5094">
            <w:r>
              <w:t>71%</w:t>
            </w:r>
          </w:p>
        </w:tc>
        <w:tc>
          <w:tcPr>
            <w:tcW w:w="745" w:type="dxa"/>
            <w:shd w:val="clear" w:color="auto" w:fill="DEEAF6" w:themeFill="accent1" w:themeFillTint="33"/>
          </w:tcPr>
          <w:p w:rsidR="000A5094" w:rsidRDefault="000A5094" w:rsidP="000A5094">
            <w:r>
              <w:t>73%</w:t>
            </w:r>
          </w:p>
        </w:tc>
        <w:tc>
          <w:tcPr>
            <w:tcW w:w="705" w:type="dxa"/>
            <w:shd w:val="clear" w:color="auto" w:fill="DEEAF6" w:themeFill="accent1" w:themeFillTint="33"/>
          </w:tcPr>
          <w:p w:rsidR="000A5094" w:rsidRDefault="000A5094" w:rsidP="000A5094">
            <w:r>
              <w:t>86%</w:t>
            </w:r>
          </w:p>
        </w:tc>
        <w:tc>
          <w:tcPr>
            <w:tcW w:w="705" w:type="dxa"/>
            <w:shd w:val="clear" w:color="auto" w:fill="DEEAF6" w:themeFill="accent1" w:themeFillTint="33"/>
          </w:tcPr>
          <w:p w:rsidR="000A5094" w:rsidRDefault="000A5094" w:rsidP="000A5094">
            <w:r>
              <w:t>75%</w:t>
            </w:r>
          </w:p>
        </w:tc>
        <w:tc>
          <w:tcPr>
            <w:tcW w:w="705" w:type="dxa"/>
            <w:gridSpan w:val="2"/>
          </w:tcPr>
          <w:p w:rsidR="000A5094" w:rsidRDefault="000A5094" w:rsidP="000A5094">
            <w:r>
              <w:t>73%</w:t>
            </w:r>
          </w:p>
        </w:tc>
        <w:tc>
          <w:tcPr>
            <w:tcW w:w="705" w:type="dxa"/>
          </w:tcPr>
          <w:p w:rsidR="000A5094" w:rsidRDefault="000A5094" w:rsidP="000A5094">
            <w:r>
              <w:t>88%</w:t>
            </w:r>
          </w:p>
        </w:tc>
        <w:tc>
          <w:tcPr>
            <w:tcW w:w="707" w:type="dxa"/>
          </w:tcPr>
          <w:p w:rsidR="000A5094" w:rsidRDefault="000A5094" w:rsidP="000A5094">
            <w:r>
              <w:t>77%</w:t>
            </w:r>
          </w:p>
        </w:tc>
        <w:tc>
          <w:tcPr>
            <w:tcW w:w="705" w:type="dxa"/>
            <w:shd w:val="clear" w:color="auto" w:fill="DEEAF6" w:themeFill="accent1" w:themeFillTint="33"/>
          </w:tcPr>
          <w:p w:rsidR="000A5094" w:rsidRDefault="000A5094" w:rsidP="000A5094">
            <w:r>
              <w:t>85%</w:t>
            </w:r>
          </w:p>
        </w:tc>
        <w:tc>
          <w:tcPr>
            <w:tcW w:w="705" w:type="dxa"/>
            <w:shd w:val="clear" w:color="auto" w:fill="DEEAF6" w:themeFill="accent1" w:themeFillTint="33"/>
          </w:tcPr>
          <w:p w:rsidR="000A5094" w:rsidRDefault="000A5094" w:rsidP="000A5094">
            <w:r>
              <w:t>90%</w:t>
            </w:r>
          </w:p>
        </w:tc>
        <w:tc>
          <w:tcPr>
            <w:tcW w:w="706" w:type="dxa"/>
            <w:shd w:val="clear" w:color="auto" w:fill="DEEAF6" w:themeFill="accent1" w:themeFillTint="33"/>
          </w:tcPr>
          <w:p w:rsidR="000A5094" w:rsidRDefault="000A5094" w:rsidP="000A5094">
            <w:r>
              <w:t>76%</w:t>
            </w:r>
          </w:p>
        </w:tc>
      </w:tr>
      <w:tr w:rsidR="000A5094" w:rsidTr="006F0B5B">
        <w:trPr>
          <w:trHeight w:val="279"/>
        </w:trPr>
        <w:tc>
          <w:tcPr>
            <w:tcW w:w="8463" w:type="dxa"/>
            <w:gridSpan w:val="13"/>
          </w:tcPr>
          <w:p w:rsidR="000A5094" w:rsidRDefault="000A5094" w:rsidP="000A5094">
            <w:r w:rsidRPr="000A5094">
              <w:rPr>
                <w:sz w:val="18"/>
                <w:szCs w:val="18"/>
              </w:rPr>
              <w:t>Achieving a high score</w:t>
            </w:r>
          </w:p>
        </w:tc>
      </w:tr>
      <w:tr w:rsidR="000A5094" w:rsidTr="000A5094">
        <w:trPr>
          <w:trHeight w:val="279"/>
        </w:trPr>
        <w:tc>
          <w:tcPr>
            <w:tcW w:w="705" w:type="dxa"/>
          </w:tcPr>
          <w:p w:rsidR="000A5094" w:rsidRDefault="000A5094" w:rsidP="000A5094">
            <w:r>
              <w:t>19%</w:t>
            </w:r>
          </w:p>
        </w:tc>
        <w:tc>
          <w:tcPr>
            <w:tcW w:w="705" w:type="dxa"/>
          </w:tcPr>
          <w:p w:rsidR="000A5094" w:rsidRDefault="000A5094" w:rsidP="000A5094">
            <w:r>
              <w:t>32%</w:t>
            </w:r>
          </w:p>
        </w:tc>
        <w:tc>
          <w:tcPr>
            <w:tcW w:w="665" w:type="dxa"/>
          </w:tcPr>
          <w:p w:rsidR="000A5094" w:rsidRDefault="000A5094" w:rsidP="000A5094">
            <w:r>
              <w:t>25%</w:t>
            </w:r>
          </w:p>
        </w:tc>
        <w:tc>
          <w:tcPr>
            <w:tcW w:w="745" w:type="dxa"/>
            <w:shd w:val="clear" w:color="auto" w:fill="DEEAF6" w:themeFill="accent1" w:themeFillTint="33"/>
          </w:tcPr>
          <w:p w:rsidR="000A5094" w:rsidRDefault="000A5094" w:rsidP="000A5094">
            <w:r>
              <w:t>14%</w:t>
            </w:r>
          </w:p>
        </w:tc>
        <w:tc>
          <w:tcPr>
            <w:tcW w:w="705" w:type="dxa"/>
            <w:shd w:val="clear" w:color="auto" w:fill="DEEAF6" w:themeFill="accent1" w:themeFillTint="33"/>
          </w:tcPr>
          <w:p w:rsidR="000A5094" w:rsidRDefault="000A5094" w:rsidP="000A5094">
            <w:r>
              <w:t>32%</w:t>
            </w:r>
          </w:p>
        </w:tc>
        <w:tc>
          <w:tcPr>
            <w:tcW w:w="705" w:type="dxa"/>
            <w:shd w:val="clear" w:color="auto" w:fill="DEEAF6" w:themeFill="accent1" w:themeFillTint="33"/>
          </w:tcPr>
          <w:p w:rsidR="000A5094" w:rsidRDefault="000A5094" w:rsidP="000A5094">
            <w:r>
              <w:t>23%</w:t>
            </w:r>
          </w:p>
        </w:tc>
        <w:tc>
          <w:tcPr>
            <w:tcW w:w="705" w:type="dxa"/>
            <w:gridSpan w:val="2"/>
          </w:tcPr>
          <w:p w:rsidR="000A5094" w:rsidRDefault="000A5094" w:rsidP="000A5094">
            <w:r>
              <w:t>24%</w:t>
            </w:r>
          </w:p>
        </w:tc>
        <w:tc>
          <w:tcPr>
            <w:tcW w:w="705" w:type="dxa"/>
          </w:tcPr>
          <w:p w:rsidR="000A5094" w:rsidRDefault="000A5094" w:rsidP="000A5094">
            <w:r>
              <w:t>41%</w:t>
            </w:r>
          </w:p>
        </w:tc>
        <w:tc>
          <w:tcPr>
            <w:tcW w:w="707" w:type="dxa"/>
          </w:tcPr>
          <w:p w:rsidR="000A5094" w:rsidRDefault="000A5094" w:rsidP="000A5094">
            <w:r>
              <w:t>31%</w:t>
            </w:r>
          </w:p>
        </w:tc>
        <w:tc>
          <w:tcPr>
            <w:tcW w:w="705" w:type="dxa"/>
            <w:shd w:val="clear" w:color="auto" w:fill="DEEAF6" w:themeFill="accent1" w:themeFillTint="33"/>
          </w:tcPr>
          <w:p w:rsidR="000A5094" w:rsidRDefault="000A5094" w:rsidP="000A5094">
            <w:r>
              <w:t>47%</w:t>
            </w:r>
          </w:p>
        </w:tc>
        <w:tc>
          <w:tcPr>
            <w:tcW w:w="705" w:type="dxa"/>
            <w:shd w:val="clear" w:color="auto" w:fill="DEEAF6" w:themeFill="accent1" w:themeFillTint="33"/>
          </w:tcPr>
          <w:p w:rsidR="000A5094" w:rsidRDefault="000A5094" w:rsidP="000A5094">
            <w:r>
              <w:t>24%</w:t>
            </w:r>
          </w:p>
        </w:tc>
        <w:tc>
          <w:tcPr>
            <w:tcW w:w="706" w:type="dxa"/>
            <w:shd w:val="clear" w:color="auto" w:fill="DEEAF6" w:themeFill="accent1" w:themeFillTint="33"/>
          </w:tcPr>
          <w:p w:rsidR="000A5094" w:rsidRDefault="000A5094" w:rsidP="000A5094">
            <w:r>
              <w:t>18%</w:t>
            </w:r>
          </w:p>
        </w:tc>
      </w:tr>
    </w:tbl>
    <w:p w:rsidR="00EB7BB2" w:rsidRPr="00425C89" w:rsidRDefault="00EB7BB2" w:rsidP="00EB7BB2">
      <w:pPr>
        <w:rPr>
          <w:sz w:val="4"/>
          <w:szCs w:val="4"/>
        </w:rPr>
      </w:pPr>
    </w:p>
    <w:p w:rsidR="00BC6A70" w:rsidRDefault="00BC6A70" w:rsidP="00BC6A70">
      <w:r>
        <w:t>Attainment has increased</w:t>
      </w:r>
      <w:r w:rsidR="007570C8">
        <w:t xml:space="preserve"> in 2017</w:t>
      </w:r>
      <w:r>
        <w:t xml:space="preserve"> across all subjects at the expected and higher standards except for writing which is now more in line with national at the higher level. At the expected standard reading has increased by 8pp, maths by 13pp and GPS by 15pp.</w:t>
      </w:r>
    </w:p>
    <w:p w:rsidR="00BC6A70" w:rsidRDefault="00BC6A70" w:rsidP="00BC6A70">
      <w:r>
        <w:t>The proportion working at greater depth</w:t>
      </w:r>
      <w:r w:rsidR="007570C8">
        <w:t xml:space="preserve"> in 2017</w:t>
      </w:r>
      <w:r>
        <w:t xml:space="preserve"> and achieving a higher score also increased: in reading by 13pp, in maths by 18pp and in GPS by </w:t>
      </w:r>
      <w:r w:rsidR="002E52EF">
        <w:t>17pp.</w:t>
      </w:r>
    </w:p>
    <w:p w:rsidR="002E52EF" w:rsidRDefault="0024037B" w:rsidP="002E52EF">
      <w:r>
        <w:t>At</w:t>
      </w:r>
      <w:r w:rsidR="002E52EF">
        <w:t xml:space="preserve"> the expected standard girls performed slightly better in reading, 84% reaching the standard to 78% of boys. More boys reached the higher standard than girls in reading, writing and maths. Maths in particular had a big difference at the higher standard, boys 52% and girls 16%.</w:t>
      </w:r>
      <w:r w:rsidR="007570C8">
        <w:t xml:space="preserve"> This varies from the national trend where girls are outperforming boys.</w:t>
      </w:r>
    </w:p>
    <w:p w:rsidR="002E52EF" w:rsidRDefault="002E52EF" w:rsidP="002E52EF">
      <w:r>
        <w:t>Average scaled score</w:t>
      </w:r>
      <w:r w:rsidR="00883B6A">
        <w:t>s</w:t>
      </w:r>
    </w:p>
    <w:tbl>
      <w:tblPr>
        <w:tblStyle w:val="TableGrid"/>
        <w:tblW w:w="0" w:type="auto"/>
        <w:tblLook w:val="04A0" w:firstRow="1" w:lastRow="0" w:firstColumn="1" w:lastColumn="0" w:noHBand="0" w:noVBand="1"/>
      </w:tblPr>
      <w:tblGrid>
        <w:gridCol w:w="1749"/>
        <w:gridCol w:w="1749"/>
        <w:gridCol w:w="1749"/>
        <w:gridCol w:w="1749"/>
        <w:gridCol w:w="1750"/>
      </w:tblGrid>
      <w:tr w:rsidR="00883B6A" w:rsidTr="00F96EF4">
        <w:trPr>
          <w:trHeight w:val="251"/>
        </w:trPr>
        <w:tc>
          <w:tcPr>
            <w:tcW w:w="1749" w:type="dxa"/>
          </w:tcPr>
          <w:p w:rsidR="00883B6A" w:rsidRDefault="00883B6A" w:rsidP="002E52EF">
            <w:r>
              <w:t xml:space="preserve">Subject </w:t>
            </w:r>
          </w:p>
        </w:tc>
        <w:tc>
          <w:tcPr>
            <w:tcW w:w="1749" w:type="dxa"/>
          </w:tcPr>
          <w:p w:rsidR="00883B6A" w:rsidRDefault="00883B6A" w:rsidP="002E52EF">
            <w:r>
              <w:t>2016 national</w:t>
            </w:r>
          </w:p>
        </w:tc>
        <w:tc>
          <w:tcPr>
            <w:tcW w:w="1749" w:type="dxa"/>
          </w:tcPr>
          <w:p w:rsidR="00883B6A" w:rsidRDefault="00883B6A" w:rsidP="002E52EF">
            <w:r>
              <w:t>2016 Wentworth</w:t>
            </w:r>
          </w:p>
        </w:tc>
        <w:tc>
          <w:tcPr>
            <w:tcW w:w="1749" w:type="dxa"/>
          </w:tcPr>
          <w:p w:rsidR="00883B6A" w:rsidRDefault="00883B6A" w:rsidP="002E52EF">
            <w:r>
              <w:t>2017 national</w:t>
            </w:r>
          </w:p>
        </w:tc>
        <w:tc>
          <w:tcPr>
            <w:tcW w:w="1750" w:type="dxa"/>
          </w:tcPr>
          <w:p w:rsidR="00883B6A" w:rsidRDefault="00883B6A" w:rsidP="002E52EF">
            <w:r>
              <w:t>2017 Wentworth</w:t>
            </w:r>
          </w:p>
        </w:tc>
      </w:tr>
      <w:tr w:rsidR="00883B6A" w:rsidTr="00F96EF4">
        <w:trPr>
          <w:trHeight w:val="251"/>
        </w:trPr>
        <w:tc>
          <w:tcPr>
            <w:tcW w:w="1749" w:type="dxa"/>
          </w:tcPr>
          <w:p w:rsidR="00883B6A" w:rsidRDefault="00883B6A" w:rsidP="002E52EF">
            <w:r>
              <w:t>Reading</w:t>
            </w:r>
          </w:p>
        </w:tc>
        <w:tc>
          <w:tcPr>
            <w:tcW w:w="1749" w:type="dxa"/>
          </w:tcPr>
          <w:p w:rsidR="00883B6A" w:rsidRDefault="00883B6A" w:rsidP="002E52EF">
            <w:r>
              <w:t>103</w:t>
            </w:r>
          </w:p>
        </w:tc>
        <w:tc>
          <w:tcPr>
            <w:tcW w:w="1749" w:type="dxa"/>
          </w:tcPr>
          <w:p w:rsidR="00883B6A" w:rsidRDefault="00686B12" w:rsidP="002E52EF">
            <w:r>
              <w:t>103</w:t>
            </w:r>
          </w:p>
        </w:tc>
        <w:tc>
          <w:tcPr>
            <w:tcW w:w="1749" w:type="dxa"/>
          </w:tcPr>
          <w:p w:rsidR="00883B6A" w:rsidRDefault="00883B6A" w:rsidP="002E52EF">
            <w:r>
              <w:t>104</w:t>
            </w:r>
          </w:p>
        </w:tc>
        <w:tc>
          <w:tcPr>
            <w:tcW w:w="1750" w:type="dxa"/>
          </w:tcPr>
          <w:p w:rsidR="00883B6A" w:rsidRDefault="00686B12" w:rsidP="002E52EF">
            <w:r>
              <w:t>106</w:t>
            </w:r>
          </w:p>
        </w:tc>
      </w:tr>
      <w:tr w:rsidR="00883B6A" w:rsidTr="00F96EF4">
        <w:trPr>
          <w:trHeight w:val="251"/>
        </w:trPr>
        <w:tc>
          <w:tcPr>
            <w:tcW w:w="1749" w:type="dxa"/>
          </w:tcPr>
          <w:p w:rsidR="00883B6A" w:rsidRDefault="00883B6A" w:rsidP="002E52EF">
            <w:r>
              <w:t>Mathematics</w:t>
            </w:r>
          </w:p>
        </w:tc>
        <w:tc>
          <w:tcPr>
            <w:tcW w:w="1749" w:type="dxa"/>
          </w:tcPr>
          <w:p w:rsidR="00883B6A" w:rsidRDefault="00883B6A" w:rsidP="002E52EF">
            <w:r>
              <w:t>103</w:t>
            </w:r>
          </w:p>
        </w:tc>
        <w:tc>
          <w:tcPr>
            <w:tcW w:w="1749" w:type="dxa"/>
          </w:tcPr>
          <w:p w:rsidR="00883B6A" w:rsidRDefault="00686B12" w:rsidP="002E52EF">
            <w:r>
              <w:t>103</w:t>
            </w:r>
          </w:p>
        </w:tc>
        <w:tc>
          <w:tcPr>
            <w:tcW w:w="1749" w:type="dxa"/>
          </w:tcPr>
          <w:p w:rsidR="00883B6A" w:rsidRDefault="00883B6A" w:rsidP="002E52EF">
            <w:r>
              <w:t>104</w:t>
            </w:r>
          </w:p>
        </w:tc>
        <w:tc>
          <w:tcPr>
            <w:tcW w:w="1750" w:type="dxa"/>
          </w:tcPr>
          <w:p w:rsidR="00883B6A" w:rsidRDefault="00686B12" w:rsidP="002E52EF">
            <w:r>
              <w:t>106</w:t>
            </w:r>
          </w:p>
        </w:tc>
      </w:tr>
      <w:tr w:rsidR="00883B6A" w:rsidTr="00F96EF4">
        <w:trPr>
          <w:trHeight w:val="251"/>
        </w:trPr>
        <w:tc>
          <w:tcPr>
            <w:tcW w:w="1749" w:type="dxa"/>
          </w:tcPr>
          <w:p w:rsidR="00883B6A" w:rsidRDefault="00883B6A" w:rsidP="002E52EF">
            <w:proofErr w:type="spellStart"/>
            <w:r>
              <w:t>Grammar,p</w:t>
            </w:r>
            <w:proofErr w:type="spellEnd"/>
            <w:r>
              <w:t xml:space="preserve"> &amp; s</w:t>
            </w:r>
          </w:p>
        </w:tc>
        <w:tc>
          <w:tcPr>
            <w:tcW w:w="1749" w:type="dxa"/>
          </w:tcPr>
          <w:p w:rsidR="00883B6A" w:rsidRDefault="00883B6A" w:rsidP="002E52EF">
            <w:r>
              <w:t>104</w:t>
            </w:r>
          </w:p>
        </w:tc>
        <w:tc>
          <w:tcPr>
            <w:tcW w:w="1749" w:type="dxa"/>
          </w:tcPr>
          <w:p w:rsidR="00883B6A" w:rsidRDefault="00686B12" w:rsidP="002E52EF">
            <w:r>
              <w:t>104</w:t>
            </w:r>
          </w:p>
        </w:tc>
        <w:tc>
          <w:tcPr>
            <w:tcW w:w="1749" w:type="dxa"/>
          </w:tcPr>
          <w:p w:rsidR="00883B6A" w:rsidRDefault="00883B6A" w:rsidP="002E52EF">
            <w:r>
              <w:t>106</w:t>
            </w:r>
          </w:p>
        </w:tc>
        <w:tc>
          <w:tcPr>
            <w:tcW w:w="1750" w:type="dxa"/>
          </w:tcPr>
          <w:p w:rsidR="00883B6A" w:rsidRDefault="00686B12" w:rsidP="002E52EF">
            <w:r>
              <w:t>107</w:t>
            </w:r>
          </w:p>
        </w:tc>
      </w:tr>
    </w:tbl>
    <w:p w:rsidR="00425C89" w:rsidRPr="00425C89" w:rsidRDefault="00425C89" w:rsidP="002E52EF">
      <w:pPr>
        <w:rPr>
          <w:sz w:val="2"/>
          <w:szCs w:val="2"/>
        </w:rPr>
      </w:pPr>
    </w:p>
    <w:p w:rsidR="00686B12" w:rsidRDefault="00686B12" w:rsidP="002E52EF">
      <w:r>
        <w:t>In 2016 we were in line with the national scaled scores but in 2017 Wentworth is higher than the national figures.</w:t>
      </w:r>
    </w:p>
    <w:p w:rsidR="0024037B" w:rsidRDefault="00E77664" w:rsidP="00E77664">
      <w:r>
        <w:t>Progress scores</w:t>
      </w:r>
      <w:r w:rsidR="0024037B">
        <w:t xml:space="preserve"> </w:t>
      </w:r>
    </w:p>
    <w:tbl>
      <w:tblPr>
        <w:tblStyle w:val="TableGrid"/>
        <w:tblW w:w="0" w:type="auto"/>
        <w:tblLook w:val="04A0" w:firstRow="1" w:lastRow="0" w:firstColumn="1" w:lastColumn="0" w:noHBand="0" w:noVBand="1"/>
      </w:tblPr>
      <w:tblGrid>
        <w:gridCol w:w="1762"/>
        <w:gridCol w:w="1762"/>
        <w:gridCol w:w="1762"/>
        <w:gridCol w:w="1762"/>
        <w:gridCol w:w="1762"/>
      </w:tblGrid>
      <w:tr w:rsidR="00E77664" w:rsidTr="00F96EF4">
        <w:trPr>
          <w:trHeight w:val="502"/>
        </w:trPr>
        <w:tc>
          <w:tcPr>
            <w:tcW w:w="1762" w:type="dxa"/>
          </w:tcPr>
          <w:p w:rsidR="00E77664" w:rsidRDefault="00E77664" w:rsidP="00120852">
            <w:r>
              <w:t xml:space="preserve">Subject </w:t>
            </w:r>
          </w:p>
        </w:tc>
        <w:tc>
          <w:tcPr>
            <w:tcW w:w="1762" w:type="dxa"/>
          </w:tcPr>
          <w:p w:rsidR="00E77664" w:rsidRDefault="00E77664" w:rsidP="00120852">
            <w:r>
              <w:t>2016</w:t>
            </w:r>
            <w:r w:rsidRPr="00836054">
              <w:rPr>
                <w:sz w:val="16"/>
                <w:szCs w:val="16"/>
              </w:rPr>
              <w:t xml:space="preserve"> national</w:t>
            </w:r>
            <w:r w:rsidR="00836054">
              <w:rPr>
                <w:sz w:val="16"/>
                <w:szCs w:val="16"/>
              </w:rPr>
              <w:t xml:space="preserve"> floor standards</w:t>
            </w:r>
          </w:p>
        </w:tc>
        <w:tc>
          <w:tcPr>
            <w:tcW w:w="1762" w:type="dxa"/>
          </w:tcPr>
          <w:p w:rsidR="00E77664" w:rsidRDefault="00E77664" w:rsidP="00120852">
            <w:r>
              <w:t>2016 Wentworth</w:t>
            </w:r>
          </w:p>
        </w:tc>
        <w:tc>
          <w:tcPr>
            <w:tcW w:w="1762" w:type="dxa"/>
          </w:tcPr>
          <w:p w:rsidR="00E77664" w:rsidRDefault="00E77664" w:rsidP="00120852">
            <w:r>
              <w:t xml:space="preserve">2017 </w:t>
            </w:r>
            <w:r w:rsidRPr="00836054">
              <w:rPr>
                <w:sz w:val="16"/>
                <w:szCs w:val="16"/>
              </w:rPr>
              <w:t>national</w:t>
            </w:r>
            <w:r w:rsidR="00836054">
              <w:rPr>
                <w:sz w:val="16"/>
                <w:szCs w:val="16"/>
              </w:rPr>
              <w:t xml:space="preserve"> floor standards</w:t>
            </w:r>
          </w:p>
        </w:tc>
        <w:tc>
          <w:tcPr>
            <w:tcW w:w="1762" w:type="dxa"/>
          </w:tcPr>
          <w:p w:rsidR="00E77664" w:rsidRDefault="00E77664" w:rsidP="00120852">
            <w:r>
              <w:t>2017 Wentworth</w:t>
            </w:r>
          </w:p>
        </w:tc>
      </w:tr>
      <w:tr w:rsidR="00836054" w:rsidTr="00F96EF4">
        <w:trPr>
          <w:trHeight w:val="292"/>
        </w:trPr>
        <w:tc>
          <w:tcPr>
            <w:tcW w:w="1762" w:type="dxa"/>
          </w:tcPr>
          <w:p w:rsidR="00836054" w:rsidRDefault="00836054" w:rsidP="00836054">
            <w:r>
              <w:t>Reading</w:t>
            </w:r>
          </w:p>
        </w:tc>
        <w:tc>
          <w:tcPr>
            <w:tcW w:w="1762" w:type="dxa"/>
          </w:tcPr>
          <w:p w:rsidR="00836054" w:rsidRDefault="00836054" w:rsidP="00836054">
            <w:r>
              <w:t>At least -5</w:t>
            </w:r>
          </w:p>
        </w:tc>
        <w:tc>
          <w:tcPr>
            <w:tcW w:w="1762" w:type="dxa"/>
          </w:tcPr>
          <w:p w:rsidR="00836054" w:rsidRDefault="00836054" w:rsidP="00836054">
            <w:r>
              <w:t>1.2</w:t>
            </w:r>
          </w:p>
        </w:tc>
        <w:tc>
          <w:tcPr>
            <w:tcW w:w="1762" w:type="dxa"/>
          </w:tcPr>
          <w:p w:rsidR="00836054" w:rsidRDefault="00836054" w:rsidP="00836054">
            <w:r>
              <w:t>At least -5</w:t>
            </w:r>
          </w:p>
        </w:tc>
        <w:tc>
          <w:tcPr>
            <w:tcW w:w="1762" w:type="dxa"/>
          </w:tcPr>
          <w:p w:rsidR="00836054" w:rsidRDefault="00836054" w:rsidP="00836054">
            <w:r>
              <w:t>-0.1</w:t>
            </w:r>
          </w:p>
        </w:tc>
      </w:tr>
      <w:tr w:rsidR="00836054" w:rsidTr="00F96EF4">
        <w:trPr>
          <w:trHeight w:val="292"/>
        </w:trPr>
        <w:tc>
          <w:tcPr>
            <w:tcW w:w="1762" w:type="dxa"/>
          </w:tcPr>
          <w:p w:rsidR="00836054" w:rsidRDefault="00836054" w:rsidP="00836054">
            <w:r>
              <w:t>Mathematics</w:t>
            </w:r>
          </w:p>
        </w:tc>
        <w:tc>
          <w:tcPr>
            <w:tcW w:w="1762" w:type="dxa"/>
          </w:tcPr>
          <w:p w:rsidR="00836054" w:rsidRDefault="00836054" w:rsidP="00836054">
            <w:r>
              <w:t>At least -5</w:t>
            </w:r>
          </w:p>
        </w:tc>
        <w:tc>
          <w:tcPr>
            <w:tcW w:w="1762" w:type="dxa"/>
          </w:tcPr>
          <w:p w:rsidR="00836054" w:rsidRDefault="00836054" w:rsidP="00836054">
            <w:r>
              <w:t>4.5</w:t>
            </w:r>
          </w:p>
        </w:tc>
        <w:tc>
          <w:tcPr>
            <w:tcW w:w="1762" w:type="dxa"/>
          </w:tcPr>
          <w:p w:rsidR="00836054" w:rsidRDefault="00836054" w:rsidP="00836054">
            <w:r>
              <w:t>At least -5</w:t>
            </w:r>
          </w:p>
        </w:tc>
        <w:tc>
          <w:tcPr>
            <w:tcW w:w="1762" w:type="dxa"/>
          </w:tcPr>
          <w:p w:rsidR="00836054" w:rsidRDefault="00836054" w:rsidP="00836054">
            <w:r>
              <w:t>0.2</w:t>
            </w:r>
          </w:p>
        </w:tc>
      </w:tr>
      <w:tr w:rsidR="00836054" w:rsidTr="00F96EF4">
        <w:trPr>
          <w:trHeight w:val="292"/>
        </w:trPr>
        <w:tc>
          <w:tcPr>
            <w:tcW w:w="1762" w:type="dxa"/>
          </w:tcPr>
          <w:p w:rsidR="00836054" w:rsidRDefault="00836054" w:rsidP="00836054">
            <w:r>
              <w:t>Writing</w:t>
            </w:r>
          </w:p>
        </w:tc>
        <w:tc>
          <w:tcPr>
            <w:tcW w:w="1762" w:type="dxa"/>
          </w:tcPr>
          <w:p w:rsidR="00836054" w:rsidRDefault="00836054" w:rsidP="00836054">
            <w:r>
              <w:t>At least -7</w:t>
            </w:r>
          </w:p>
        </w:tc>
        <w:tc>
          <w:tcPr>
            <w:tcW w:w="1762" w:type="dxa"/>
          </w:tcPr>
          <w:p w:rsidR="00836054" w:rsidRDefault="00836054" w:rsidP="00836054">
            <w:r>
              <w:t>0.7</w:t>
            </w:r>
          </w:p>
        </w:tc>
        <w:tc>
          <w:tcPr>
            <w:tcW w:w="1762" w:type="dxa"/>
          </w:tcPr>
          <w:p w:rsidR="00836054" w:rsidRDefault="00836054" w:rsidP="00836054">
            <w:r>
              <w:t>At least -7</w:t>
            </w:r>
          </w:p>
        </w:tc>
        <w:tc>
          <w:tcPr>
            <w:tcW w:w="1762" w:type="dxa"/>
          </w:tcPr>
          <w:p w:rsidR="00836054" w:rsidRDefault="00836054" w:rsidP="00836054">
            <w:r>
              <w:t>0.2</w:t>
            </w:r>
          </w:p>
        </w:tc>
      </w:tr>
    </w:tbl>
    <w:p w:rsidR="00425C89" w:rsidRPr="00425C89" w:rsidRDefault="00425C89" w:rsidP="00425C89">
      <w:pPr>
        <w:rPr>
          <w:sz w:val="2"/>
          <w:szCs w:val="2"/>
        </w:rPr>
      </w:pPr>
    </w:p>
    <w:p w:rsidR="00E77664" w:rsidRDefault="00425C89" w:rsidP="00425C89">
      <w:r>
        <w:t>In 2017 there were 40% of eligible pupils in the high prior attainment band and only 14% in 2016- making progress more difficult. Pupils with high prior attainment</w:t>
      </w:r>
      <w:r w:rsidR="00AA3E6A">
        <w:t>:</w:t>
      </w:r>
      <w:r>
        <w:t xml:space="preserve"> 96% achieved a high score in reading and 100% in maths and writing. More pupils with medium prior attainment achieved the expected level </w:t>
      </w:r>
      <w:r w:rsidR="00AA3E6A">
        <w:t xml:space="preserve">in 2017 </w:t>
      </w:r>
      <w:r>
        <w:t>than in 2016 in all subjects: reading 2016 70%, 2017 77%; writing 2016 85%, 2017 90% and maths 2016 73%, 2017 84%.</w:t>
      </w:r>
    </w:p>
    <w:sectPr w:rsidR="00E77664" w:rsidSect="00425C89">
      <w:pgSz w:w="11906" w:h="16838"/>
      <w:pgMar w:top="81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518B8"/>
    <w:multiLevelType w:val="hybridMultilevel"/>
    <w:tmpl w:val="F084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B2"/>
    <w:rsid w:val="000A5094"/>
    <w:rsid w:val="00105310"/>
    <w:rsid w:val="001264C2"/>
    <w:rsid w:val="0024037B"/>
    <w:rsid w:val="002E52EF"/>
    <w:rsid w:val="00367C3C"/>
    <w:rsid w:val="00425C89"/>
    <w:rsid w:val="00686B12"/>
    <w:rsid w:val="00694F99"/>
    <w:rsid w:val="007570C8"/>
    <w:rsid w:val="00836054"/>
    <w:rsid w:val="00883B6A"/>
    <w:rsid w:val="008A2A40"/>
    <w:rsid w:val="00A04673"/>
    <w:rsid w:val="00AA3E6A"/>
    <w:rsid w:val="00AA46BE"/>
    <w:rsid w:val="00AE4D20"/>
    <w:rsid w:val="00BC6A70"/>
    <w:rsid w:val="00CA3D42"/>
    <w:rsid w:val="00E77664"/>
    <w:rsid w:val="00EB7BB2"/>
    <w:rsid w:val="00F96EF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D8CD5-ED53-43B9-ADD8-C5B66752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BB2"/>
    <w:rPr>
      <w:sz w:val="16"/>
      <w:szCs w:val="16"/>
    </w:rPr>
  </w:style>
  <w:style w:type="paragraph" w:styleId="CommentText">
    <w:name w:val="annotation text"/>
    <w:basedOn w:val="Normal"/>
    <w:link w:val="CommentTextChar"/>
    <w:uiPriority w:val="99"/>
    <w:semiHidden/>
    <w:unhideWhenUsed/>
    <w:rsid w:val="00EB7BB2"/>
    <w:pPr>
      <w:spacing w:line="240" w:lineRule="auto"/>
    </w:pPr>
    <w:rPr>
      <w:sz w:val="20"/>
      <w:szCs w:val="20"/>
    </w:rPr>
  </w:style>
  <w:style w:type="character" w:customStyle="1" w:styleId="CommentTextChar">
    <w:name w:val="Comment Text Char"/>
    <w:basedOn w:val="DefaultParagraphFont"/>
    <w:link w:val="CommentText"/>
    <w:uiPriority w:val="99"/>
    <w:semiHidden/>
    <w:rsid w:val="00EB7BB2"/>
    <w:rPr>
      <w:sz w:val="20"/>
      <w:szCs w:val="20"/>
    </w:rPr>
  </w:style>
  <w:style w:type="paragraph" w:styleId="CommentSubject">
    <w:name w:val="annotation subject"/>
    <w:basedOn w:val="CommentText"/>
    <w:next w:val="CommentText"/>
    <w:link w:val="CommentSubjectChar"/>
    <w:uiPriority w:val="99"/>
    <w:semiHidden/>
    <w:unhideWhenUsed/>
    <w:rsid w:val="00EB7BB2"/>
    <w:rPr>
      <w:b/>
      <w:bCs/>
    </w:rPr>
  </w:style>
  <w:style w:type="character" w:customStyle="1" w:styleId="CommentSubjectChar">
    <w:name w:val="Comment Subject Char"/>
    <w:basedOn w:val="CommentTextChar"/>
    <w:link w:val="CommentSubject"/>
    <w:uiPriority w:val="99"/>
    <w:semiHidden/>
    <w:rsid w:val="00EB7BB2"/>
    <w:rPr>
      <w:b/>
      <w:bCs/>
      <w:sz w:val="20"/>
      <w:szCs w:val="20"/>
    </w:rPr>
  </w:style>
  <w:style w:type="paragraph" w:styleId="Revision">
    <w:name w:val="Revision"/>
    <w:hidden/>
    <w:uiPriority w:val="99"/>
    <w:semiHidden/>
    <w:rsid w:val="00EB7BB2"/>
    <w:pPr>
      <w:spacing w:after="0" w:line="240" w:lineRule="auto"/>
    </w:pPr>
  </w:style>
  <w:style w:type="paragraph" w:styleId="BalloonText">
    <w:name w:val="Balloon Text"/>
    <w:basedOn w:val="Normal"/>
    <w:link w:val="BalloonTextChar"/>
    <w:uiPriority w:val="99"/>
    <w:semiHidden/>
    <w:unhideWhenUsed/>
    <w:rsid w:val="00EB7BB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B7BB2"/>
    <w:rPr>
      <w:rFonts w:ascii="Segoe UI" w:hAnsi="Segoe UI"/>
      <w:sz w:val="18"/>
      <w:szCs w:val="18"/>
    </w:rPr>
  </w:style>
  <w:style w:type="paragraph" w:styleId="ListParagraph">
    <w:name w:val="List Paragraph"/>
    <w:basedOn w:val="Normal"/>
    <w:uiPriority w:val="34"/>
    <w:qFormat/>
    <w:rsid w:val="0024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Waller</dc:creator>
  <cp:keywords/>
  <dc:description/>
  <cp:lastModifiedBy>Sue Waller</cp:lastModifiedBy>
  <cp:revision>2</cp:revision>
  <cp:lastPrinted>2017-09-07T12:42:00Z</cp:lastPrinted>
  <dcterms:created xsi:type="dcterms:W3CDTF">2017-09-08T07:08:00Z</dcterms:created>
  <dcterms:modified xsi:type="dcterms:W3CDTF">2017-09-08T07:08:00Z</dcterms:modified>
</cp:coreProperties>
</file>