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6B" w:rsidRPr="00102F9D" w:rsidRDefault="00275A6B" w:rsidP="007D637A">
      <w:pPr>
        <w:jc w:val="center"/>
        <w:rPr>
          <w:b/>
          <w:color w:val="FF0000"/>
          <w:sz w:val="32"/>
          <w:szCs w:val="32"/>
        </w:rPr>
      </w:pPr>
      <w:r w:rsidRPr="007D637A">
        <w:rPr>
          <w:b/>
          <w:sz w:val="32"/>
          <w:szCs w:val="32"/>
        </w:rPr>
        <w:t xml:space="preserve">PRIMARY </w:t>
      </w:r>
      <w:r w:rsidR="00E22CF2">
        <w:rPr>
          <w:b/>
          <w:sz w:val="32"/>
          <w:szCs w:val="32"/>
        </w:rPr>
        <w:t xml:space="preserve">SCHOOL </w:t>
      </w:r>
      <w:r w:rsidRPr="007D637A">
        <w:rPr>
          <w:b/>
          <w:sz w:val="32"/>
          <w:szCs w:val="32"/>
        </w:rPr>
        <w:t>SPO</w:t>
      </w:r>
      <w:r w:rsidR="002B1603">
        <w:rPr>
          <w:b/>
          <w:sz w:val="32"/>
          <w:szCs w:val="32"/>
        </w:rPr>
        <w:t xml:space="preserve">RT PREMIUM DEVELOPMENT PLAN </w:t>
      </w:r>
      <w:r w:rsidR="00462228">
        <w:rPr>
          <w:b/>
          <w:sz w:val="32"/>
          <w:szCs w:val="32"/>
        </w:rPr>
        <w:t>2022-2023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3816"/>
        <w:gridCol w:w="1040"/>
        <w:gridCol w:w="2705"/>
        <w:gridCol w:w="1818"/>
        <w:gridCol w:w="6072"/>
      </w:tblGrid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>
            <w:r>
              <w:t>Primary PE &amp; Sport Grand Awarded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Total number of pupils on roll</w:t>
            </w:r>
          </w:p>
        </w:tc>
        <w:tc>
          <w:tcPr>
            <w:tcW w:w="7890" w:type="dxa"/>
            <w:gridSpan w:val="2"/>
          </w:tcPr>
          <w:p w:rsidR="009A6DF8" w:rsidRDefault="001F7FA2">
            <w:r>
              <w:t>355 (</w:t>
            </w:r>
            <w:r w:rsidR="002F64D7">
              <w:t>Y1-6</w:t>
            </w:r>
            <w:r>
              <w:t>)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 w:rsidRPr="00275A6B">
              <w:t>Lump sum</w:t>
            </w:r>
          </w:p>
        </w:tc>
        <w:tc>
          <w:tcPr>
            <w:tcW w:w="7890" w:type="dxa"/>
            <w:gridSpan w:val="2"/>
          </w:tcPr>
          <w:p w:rsidR="009A6DF8" w:rsidRDefault="002B1603">
            <w:r>
              <w:t>£16</w:t>
            </w:r>
            <w:r w:rsidR="001236BD">
              <w:t>,000</w:t>
            </w:r>
          </w:p>
        </w:tc>
      </w:tr>
      <w:tr w:rsidR="009A6DF8" w:rsidTr="00AA1EA0">
        <w:tc>
          <w:tcPr>
            <w:tcW w:w="7561" w:type="dxa"/>
            <w:gridSpan w:val="3"/>
          </w:tcPr>
          <w:p w:rsidR="009A6DF8" w:rsidRPr="00275A6B" w:rsidRDefault="009A6DF8">
            <w:r>
              <w:t>Amount of grant</w:t>
            </w:r>
            <w:r w:rsidRPr="00275A6B">
              <w:t xml:space="preserve"> received per pupil </w:t>
            </w:r>
            <w:r w:rsidR="00655738">
              <w:t xml:space="preserve"> </w:t>
            </w:r>
            <w:r w:rsidR="002B1603">
              <w:t>(£10</w:t>
            </w:r>
            <w:r w:rsidR="007B252A">
              <w:t xml:space="preserve"> x </w:t>
            </w:r>
            <w:r w:rsidR="001F7FA2">
              <w:t>355</w:t>
            </w:r>
            <w:r w:rsidRPr="00275A6B">
              <w:t>)</w:t>
            </w:r>
          </w:p>
        </w:tc>
        <w:tc>
          <w:tcPr>
            <w:tcW w:w="7890" w:type="dxa"/>
            <w:gridSpan w:val="2"/>
          </w:tcPr>
          <w:p w:rsidR="009A6DF8" w:rsidRDefault="001F7FA2" w:rsidP="001236BD">
            <w:r>
              <w:t>£3,550</w:t>
            </w:r>
          </w:p>
        </w:tc>
      </w:tr>
      <w:tr w:rsidR="009A6DF8" w:rsidTr="00AA1EA0">
        <w:tc>
          <w:tcPr>
            <w:tcW w:w="7561" w:type="dxa"/>
            <w:gridSpan w:val="3"/>
            <w:tcBorders>
              <w:bottom w:val="single" w:sz="4" w:space="0" w:color="auto"/>
            </w:tcBorders>
          </w:tcPr>
          <w:p w:rsidR="009A6DF8" w:rsidRPr="00275A6B" w:rsidRDefault="009A6DF8" w:rsidP="00E773AE">
            <w:r w:rsidRPr="00275A6B">
              <w:t>Total Grant Amount</w:t>
            </w:r>
            <w:r w:rsidR="001236BD">
              <w:t xml:space="preserve"> </w:t>
            </w:r>
            <w:r w:rsidR="001F7FA2">
              <w:t>2021-22</w:t>
            </w:r>
            <w:r w:rsidR="001236BD">
              <w:t xml:space="preserve"> allocation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</w:tcPr>
          <w:p w:rsidR="009A6DF8" w:rsidRDefault="001236BD" w:rsidP="001F7FA2">
            <w:r>
              <w:t>£</w:t>
            </w:r>
            <w:r w:rsidR="001F7FA2">
              <w:t>19,550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PE &amp; School Sport Co-ordinator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Sophie Ainscough</w:t>
            </w:r>
          </w:p>
        </w:tc>
      </w:tr>
      <w:tr w:rsidR="002B616C" w:rsidTr="00AA1EA0">
        <w:tc>
          <w:tcPr>
            <w:tcW w:w="7561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:rsidR="002B616C" w:rsidRPr="00275A6B" w:rsidRDefault="002B616C">
            <w:r>
              <w:t>Governor responsible for PE &amp; School Sport</w:t>
            </w:r>
          </w:p>
        </w:tc>
        <w:tc>
          <w:tcPr>
            <w:tcW w:w="7890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2B616C" w:rsidRDefault="001236BD">
            <w:r>
              <w:t>Keith Bannister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Default="009A6DF8" w:rsidP="00E773AE">
            <w:r>
              <w:t>Summa</w:t>
            </w:r>
            <w:r w:rsidR="002B1603">
              <w:t xml:space="preserve">ry of Primary Sport Premium </w:t>
            </w:r>
            <w:r w:rsidR="008262C6">
              <w:t>2021-22</w:t>
            </w:r>
            <w:r w:rsidR="00E773AE">
              <w:t xml:space="preserve"> focus</w:t>
            </w:r>
          </w:p>
        </w:tc>
      </w:tr>
      <w:tr w:rsidR="009A6DF8" w:rsidTr="008E3AC8">
        <w:tc>
          <w:tcPr>
            <w:tcW w:w="15451" w:type="dxa"/>
            <w:gridSpan w:val="5"/>
            <w:tcBorders>
              <w:bottom w:val="single" w:sz="4" w:space="0" w:color="auto"/>
            </w:tcBorders>
          </w:tcPr>
          <w:p w:rsidR="00DC19B3" w:rsidRDefault="002B1603">
            <w:r>
              <w:t xml:space="preserve">Key indicators </w:t>
            </w:r>
            <w:r w:rsidR="009A6DF8">
              <w:t>of spend;</w:t>
            </w:r>
          </w:p>
          <w:p w:rsidR="002B1603" w:rsidRDefault="00603E3C" w:rsidP="00392975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="001236BD">
              <w:t>eacher CPD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Replenish worn equipment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 xml:space="preserve">Raise the profile of </w:t>
            </w:r>
            <w:r w:rsidR="00603E3C">
              <w:t>mindfulness</w:t>
            </w:r>
            <w:r w:rsidR="000A41CE">
              <w:t xml:space="preserve"> and well-being</w:t>
            </w:r>
            <w:r>
              <w:t xml:space="preserve"> across the school</w:t>
            </w:r>
            <w:r w:rsidR="00D622AB">
              <w:t xml:space="preserve"> using </w:t>
            </w:r>
            <w:proofErr w:type="spellStart"/>
            <w:r w:rsidR="00D622AB">
              <w:t>Striver</w:t>
            </w:r>
            <w:proofErr w:type="spellEnd"/>
            <w:r w:rsidR="00D622AB">
              <w:t xml:space="preserve"> by2Simple</w:t>
            </w:r>
          </w:p>
          <w:p w:rsidR="001236BD" w:rsidRDefault="001236BD" w:rsidP="00392975">
            <w:pPr>
              <w:pStyle w:val="ListParagraph"/>
              <w:numPr>
                <w:ilvl w:val="0"/>
                <w:numId w:val="2"/>
              </w:numPr>
            </w:pPr>
            <w:r>
              <w:t>Increased confidence, knowledge and skills of all staff teaching PE and sport.</w:t>
            </w:r>
          </w:p>
        </w:tc>
      </w:tr>
      <w:tr w:rsidR="009A6DF8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9A6DF8" w:rsidRPr="00131D8D" w:rsidRDefault="009A6DF8">
            <w:r w:rsidRPr="00131D8D">
              <w:t>Outline of Pri</w:t>
            </w:r>
            <w:r w:rsidR="00603E3C">
              <w:t xml:space="preserve">mary Sport Premium spending </w:t>
            </w:r>
            <w:r w:rsidR="00D622AB">
              <w:t>2021-2022</w:t>
            </w:r>
          </w:p>
        </w:tc>
      </w:tr>
      <w:tr w:rsidR="007E3B16" w:rsidTr="00AA1EA0">
        <w:tc>
          <w:tcPr>
            <w:tcW w:w="3816" w:type="dxa"/>
          </w:tcPr>
          <w:p w:rsidR="007E3B16" w:rsidRPr="00131D8D" w:rsidRDefault="00441D7C" w:rsidP="009A6DF8">
            <w:pPr>
              <w:jc w:val="center"/>
            </w:pPr>
            <w:r w:rsidRPr="00131D8D">
              <w:t>Item/project</w:t>
            </w:r>
          </w:p>
        </w:tc>
        <w:tc>
          <w:tcPr>
            <w:tcW w:w="1040" w:type="dxa"/>
          </w:tcPr>
          <w:p w:rsidR="007E3B16" w:rsidRPr="00131D8D" w:rsidRDefault="007E3B16" w:rsidP="009A6DF8">
            <w:pPr>
              <w:jc w:val="center"/>
            </w:pPr>
            <w:r w:rsidRPr="00131D8D">
              <w:t>Cost</w:t>
            </w:r>
          </w:p>
        </w:tc>
        <w:tc>
          <w:tcPr>
            <w:tcW w:w="4523" w:type="dxa"/>
            <w:gridSpan w:val="2"/>
          </w:tcPr>
          <w:p w:rsidR="007E3B16" w:rsidRPr="00131D8D" w:rsidRDefault="00441D7C" w:rsidP="009A6DF8">
            <w:pPr>
              <w:jc w:val="center"/>
            </w:pPr>
            <w:r w:rsidRPr="00131D8D">
              <w:t>Action/</w:t>
            </w:r>
            <w:r w:rsidR="007E3B16" w:rsidRPr="00131D8D">
              <w:t>Objectives</w:t>
            </w:r>
          </w:p>
        </w:tc>
        <w:tc>
          <w:tcPr>
            <w:tcW w:w="6072" w:type="dxa"/>
          </w:tcPr>
          <w:p w:rsidR="007E3B16" w:rsidRPr="00131D8D" w:rsidRDefault="007E3B16" w:rsidP="009A6DF8">
            <w:pPr>
              <w:jc w:val="center"/>
            </w:pPr>
            <w:r w:rsidRPr="002D63CB">
              <w:rPr>
                <w:b/>
              </w:rPr>
              <w:t>Impact</w:t>
            </w:r>
            <w:r w:rsidR="00170907">
              <w:t xml:space="preserve"> and sustainability</w:t>
            </w:r>
          </w:p>
        </w:tc>
      </w:tr>
      <w:tr w:rsidR="00625BEE" w:rsidTr="008E3AC8">
        <w:tc>
          <w:tcPr>
            <w:tcW w:w="15451" w:type="dxa"/>
            <w:gridSpan w:val="5"/>
          </w:tcPr>
          <w:p w:rsidR="00625BEE" w:rsidRPr="00131D8D" w:rsidRDefault="00625BEE" w:rsidP="00625BEE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1: PE – To improve the quality of </w:t>
            </w:r>
            <w:r w:rsidR="00972A0B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P.E.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teaching and diversity of the curriculum in order for all pupil</w:t>
            </w:r>
            <w:r w:rsidR="00F93C3F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s to make better than expected 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progress  </w:t>
            </w:r>
            <w:r w:rsidRPr="00131D8D">
              <w:rPr>
                <w:rFonts w:eastAsiaTheme="minorEastAsia" w:cs="Arial"/>
                <w:sz w:val="18"/>
                <w:szCs w:val="24"/>
                <w:lang w:val="en-US"/>
              </w:rPr>
              <w:t>Professional Development Curriculum Development and achievement of pupils.</w:t>
            </w:r>
          </w:p>
        </w:tc>
      </w:tr>
      <w:tr w:rsidR="00317606" w:rsidTr="00317606">
        <w:trPr>
          <w:trHeight w:val="709"/>
        </w:trPr>
        <w:tc>
          <w:tcPr>
            <w:tcW w:w="3816" w:type="dxa"/>
          </w:tcPr>
          <w:p w:rsidR="00317606" w:rsidRPr="00131D8D" w:rsidRDefault="00317606">
            <w:pPr>
              <w:rPr>
                <w:sz w:val="20"/>
                <w:szCs w:val="20"/>
              </w:rPr>
            </w:pPr>
            <w:r w:rsidRPr="00EC5591">
              <w:rPr>
                <w:sz w:val="20"/>
                <w:szCs w:val="20"/>
              </w:rPr>
              <w:t xml:space="preserve">Improve the quality of PE teaching and outcomes for pupils </w:t>
            </w:r>
            <w:r>
              <w:rPr>
                <w:sz w:val="20"/>
                <w:szCs w:val="20"/>
              </w:rPr>
              <w:t>by e</w:t>
            </w:r>
            <w:r w:rsidRPr="00131D8D">
              <w:rPr>
                <w:sz w:val="20"/>
                <w:szCs w:val="20"/>
              </w:rPr>
              <w:t>mployment and deployment of specialist PE teacher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317606" w:rsidRPr="00131D8D" w:rsidRDefault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£12,000</w:t>
            </w:r>
          </w:p>
          <w:p w:rsidR="00317606" w:rsidRPr="00131D8D" w:rsidRDefault="00317606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2"/>
            <w:vMerge w:val="restart"/>
          </w:tcPr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70% of observations graded as at least ‘Outstanding’.</w:t>
            </w:r>
          </w:p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Enhanced skills for all KS2 pupils.</w:t>
            </w:r>
          </w:p>
          <w:p w:rsidR="00317606" w:rsidRPr="001236B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 xml:space="preserve">Entered 100% of competitions. </w:t>
            </w:r>
          </w:p>
          <w:p w:rsidR="00317606" w:rsidRPr="00131D8D" w:rsidRDefault="00317606" w:rsidP="001236BD">
            <w:pPr>
              <w:rPr>
                <w:sz w:val="20"/>
                <w:szCs w:val="20"/>
              </w:rPr>
            </w:pPr>
            <w:r w:rsidRPr="001236BD">
              <w:rPr>
                <w:sz w:val="20"/>
                <w:szCs w:val="20"/>
              </w:rPr>
              <w:t>Qualify for competing at higher levels (Colchester and Blackwater finals and Essex finals)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72" w:type="dxa"/>
            <w:vMerge w:val="restart"/>
          </w:tcPr>
          <w:p w:rsidR="00317606" w:rsidRDefault="00102F9D" w:rsidP="00DB4A6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6501C" w:rsidRPr="0066501C">
              <w:rPr>
                <w:b/>
                <w:sz w:val="20"/>
                <w:szCs w:val="20"/>
              </w:rPr>
              <w:t xml:space="preserve">New equipment to </w:t>
            </w:r>
            <w:proofErr w:type="gramStart"/>
            <w:r w:rsidR="0066501C" w:rsidRPr="0066501C">
              <w:rPr>
                <w:b/>
                <w:sz w:val="20"/>
                <w:szCs w:val="20"/>
              </w:rPr>
              <w:t>be purchased</w:t>
            </w:r>
            <w:proofErr w:type="gramEnd"/>
            <w:r w:rsidR="0066501C" w:rsidRPr="0066501C">
              <w:rPr>
                <w:b/>
                <w:sz w:val="20"/>
                <w:szCs w:val="20"/>
              </w:rPr>
              <w:t xml:space="preserve"> </w:t>
            </w:r>
            <w:r w:rsidR="0066501C">
              <w:rPr>
                <w:b/>
                <w:sz w:val="20"/>
                <w:szCs w:val="20"/>
              </w:rPr>
              <w:t>–</w:t>
            </w:r>
            <w:r w:rsidR="0066501C" w:rsidRPr="0066501C">
              <w:rPr>
                <w:b/>
                <w:sz w:val="20"/>
                <w:szCs w:val="20"/>
              </w:rPr>
              <w:t xml:space="preserve"> </w:t>
            </w:r>
            <w:r w:rsidR="0066501C">
              <w:rPr>
                <w:b/>
                <w:sz w:val="20"/>
                <w:szCs w:val="20"/>
              </w:rPr>
              <w:t xml:space="preserve">football goals, netball posts, tennis balls, cricket bats – these purchases will enable us to offer access for more children to after school clubs. </w:t>
            </w:r>
          </w:p>
          <w:p w:rsidR="0066501C" w:rsidRDefault="0066501C" w:rsidP="00DB4A6C">
            <w:pPr>
              <w:rPr>
                <w:b/>
                <w:sz w:val="20"/>
                <w:szCs w:val="20"/>
              </w:rPr>
            </w:pPr>
          </w:p>
          <w:p w:rsidR="0066501C" w:rsidRPr="00102F9D" w:rsidRDefault="0066501C" w:rsidP="00DB4A6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 observed by the subject leader and assessment data and pupil perceptions regularly monitored by subject leader.</w:t>
            </w:r>
          </w:p>
        </w:tc>
      </w:tr>
      <w:tr w:rsidR="00317606" w:rsidTr="00AA1EA0">
        <w:trPr>
          <w:trHeight w:val="744"/>
        </w:trPr>
        <w:tc>
          <w:tcPr>
            <w:tcW w:w="3816" w:type="dxa"/>
          </w:tcPr>
          <w:p w:rsidR="00317606" w:rsidRPr="00EC5591" w:rsidRDefault="00317606" w:rsidP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quality of PE teaching through the use of specialist equipment,</w:t>
            </w:r>
          </w:p>
        </w:tc>
        <w:tc>
          <w:tcPr>
            <w:tcW w:w="1040" w:type="dxa"/>
          </w:tcPr>
          <w:p w:rsidR="00317606" w:rsidRDefault="00462228" w:rsidP="00317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£3000</w:t>
            </w:r>
          </w:p>
        </w:tc>
        <w:tc>
          <w:tcPr>
            <w:tcW w:w="4523" w:type="dxa"/>
            <w:gridSpan w:val="2"/>
            <w:vMerge/>
          </w:tcPr>
          <w:p w:rsidR="00317606" w:rsidRPr="001236BD" w:rsidRDefault="00317606" w:rsidP="001236BD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  <w:vMerge/>
          </w:tcPr>
          <w:p w:rsidR="00317606" w:rsidRDefault="00317606" w:rsidP="006C16A7">
            <w:pPr>
              <w:rPr>
                <w:b/>
                <w:sz w:val="20"/>
                <w:szCs w:val="20"/>
              </w:rPr>
            </w:pPr>
          </w:p>
        </w:tc>
      </w:tr>
      <w:tr w:rsidR="00DB4A6C" w:rsidTr="00AA1EA0">
        <w:trPr>
          <w:trHeight w:val="596"/>
        </w:trPr>
        <w:tc>
          <w:tcPr>
            <w:tcW w:w="3816" w:type="dxa"/>
          </w:tcPr>
          <w:p w:rsidR="00DB4A6C" w:rsidRPr="00EC5591" w:rsidRDefault="00DB4A6C" w:rsidP="0046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the quality of PE teaching </w:t>
            </w:r>
            <w:r w:rsidR="00462228">
              <w:rPr>
                <w:sz w:val="20"/>
                <w:szCs w:val="20"/>
              </w:rPr>
              <w:t xml:space="preserve">across the school in dance and gymnastics. </w:t>
            </w:r>
          </w:p>
        </w:tc>
        <w:tc>
          <w:tcPr>
            <w:tcW w:w="1040" w:type="dxa"/>
          </w:tcPr>
          <w:p w:rsidR="00DB4A6C" w:rsidRDefault="00DB4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£350</w:t>
            </w:r>
          </w:p>
        </w:tc>
        <w:tc>
          <w:tcPr>
            <w:tcW w:w="4523" w:type="dxa"/>
            <w:gridSpan w:val="2"/>
          </w:tcPr>
          <w:p w:rsidR="00DB4A6C" w:rsidRDefault="00462228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will</w:t>
            </w:r>
            <w:r w:rsidR="00DB4A6C">
              <w:rPr>
                <w:sz w:val="20"/>
                <w:szCs w:val="20"/>
              </w:rPr>
              <w:t xml:space="preserve"> access age appropriate PE lessons with clear progression of skills.</w:t>
            </w:r>
          </w:p>
          <w:p w:rsidR="00DB4A6C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  <w:proofErr w:type="gramStart"/>
            <w:r>
              <w:rPr>
                <w:sz w:val="20"/>
                <w:szCs w:val="20"/>
              </w:rPr>
              <w:t>will be trained</w:t>
            </w:r>
            <w:proofErr w:type="gramEnd"/>
            <w:r>
              <w:rPr>
                <w:sz w:val="20"/>
                <w:szCs w:val="20"/>
              </w:rPr>
              <w:t xml:space="preserve"> on how to use the scheme and assess effectively.</w:t>
            </w:r>
          </w:p>
          <w:p w:rsidR="00DB4A6C" w:rsidRPr="001236BD" w:rsidRDefault="00DB4A6C" w:rsidP="00123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will assess the impact of the scheme termly through pupil perceptions and data analysis.</w:t>
            </w:r>
          </w:p>
        </w:tc>
        <w:tc>
          <w:tcPr>
            <w:tcW w:w="6072" w:type="dxa"/>
          </w:tcPr>
          <w:p w:rsidR="00465CE4" w:rsidRDefault="00462228" w:rsidP="006C16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Striver</w:t>
            </w:r>
            <w:proofErr w:type="spellEnd"/>
            <w:r>
              <w:rPr>
                <w:b/>
                <w:sz w:val="20"/>
                <w:szCs w:val="20"/>
              </w:rPr>
              <w:t xml:space="preserve"> by 2simple </w:t>
            </w:r>
            <w:proofErr w:type="gramStart"/>
            <w:r>
              <w:rPr>
                <w:b/>
                <w:sz w:val="20"/>
                <w:szCs w:val="20"/>
              </w:rPr>
              <w:t>was purchased</w:t>
            </w:r>
            <w:proofErr w:type="gramEnd"/>
            <w:r>
              <w:rPr>
                <w:b/>
                <w:sz w:val="20"/>
                <w:szCs w:val="20"/>
              </w:rPr>
              <w:t xml:space="preserve"> last academic year and we will continue with the licence. This academic year all children will access the dance and gymnastics curriculum. </w:t>
            </w:r>
            <w:proofErr w:type="gramStart"/>
            <w:r>
              <w:rPr>
                <w:b/>
                <w:sz w:val="20"/>
                <w:szCs w:val="20"/>
              </w:rPr>
              <w:t>Teachers will be trained by the subject leader on how to use the scheme and how to complete assessments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462228" w:rsidRDefault="00462228" w:rsidP="006C16A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Assessments and pupil perceptions will be monitored termly by the subject leader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  <w:p w:rsidR="00102F9D" w:rsidRPr="00102F9D" w:rsidRDefault="00102F9D" w:rsidP="006C16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25BEE" w:rsidTr="008E3AC8">
        <w:trPr>
          <w:trHeight w:val="70"/>
        </w:trPr>
        <w:tc>
          <w:tcPr>
            <w:tcW w:w="15451" w:type="dxa"/>
            <w:gridSpan w:val="5"/>
          </w:tcPr>
          <w:p w:rsidR="00625BEE" w:rsidRPr="00131D8D" w:rsidRDefault="00842147" w:rsidP="006C16A7">
            <w:pPr>
              <w:rPr>
                <w:rFonts w:eastAsiaTheme="minorEastAsia" w:cs="Arial"/>
                <w:sz w:val="20"/>
                <w:szCs w:val="20"/>
                <w:lang w:val="en-US"/>
              </w:rPr>
            </w:pPr>
            <w:r>
              <w:rPr>
                <w:rFonts w:eastAsiaTheme="minorEastAsia" w:cs="Arial"/>
                <w:b/>
                <w:sz w:val="24"/>
                <w:szCs w:val="24"/>
                <w:lang w:val="en-US"/>
              </w:rPr>
              <w:t>Key P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riority 2:  School Sport - To increase opport</w:t>
            </w:r>
            <w:r w:rsidR="00040425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unities for participation </w:t>
            </w:r>
            <w:r w:rsidR="00625BEE"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in a range extra-curricular and competitive opportunities</w:t>
            </w:r>
            <w:r w:rsidR="00625BEE" w:rsidRPr="00131D8D">
              <w:rPr>
                <w:rFonts w:eastAsiaTheme="minorEastAsia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lastRenderedPageBreak/>
              <w:t xml:space="preserve">For more pupils to take part in </w:t>
            </w:r>
            <w:r w:rsidR="00D52189">
              <w:rPr>
                <w:sz w:val="20"/>
                <w:szCs w:val="20"/>
              </w:rPr>
              <w:t xml:space="preserve">at least level 1 </w:t>
            </w:r>
            <w:r w:rsidRPr="00131D8D">
              <w:rPr>
                <w:sz w:val="20"/>
                <w:szCs w:val="20"/>
              </w:rPr>
              <w:t>competitive physical activities</w:t>
            </w:r>
          </w:p>
        </w:tc>
        <w:tc>
          <w:tcPr>
            <w:tcW w:w="1040" w:type="dxa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£200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973F2A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subject leader and PE Specialist to organise level 1 half termly intra school activities e.g. inter house hockey in each KS2 year group.</w:t>
            </w:r>
            <w:r w:rsidR="00465CE4">
              <w:rPr>
                <w:sz w:val="20"/>
                <w:szCs w:val="20"/>
              </w:rPr>
              <w:t xml:space="preserve"> Triathlon</w:t>
            </w:r>
          </w:p>
        </w:tc>
        <w:tc>
          <w:tcPr>
            <w:tcW w:w="6072" w:type="dxa"/>
          </w:tcPr>
          <w:p w:rsidR="0066501C" w:rsidRDefault="0066501C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cohort competitions between classes </w:t>
            </w:r>
            <w:proofErr w:type="gramStart"/>
            <w:r>
              <w:rPr>
                <w:b/>
                <w:sz w:val="20"/>
                <w:szCs w:val="20"/>
              </w:rPr>
              <w:t>will be reintroduced</w:t>
            </w:r>
            <w:proofErr w:type="gramEnd"/>
            <w:r>
              <w:rPr>
                <w:b/>
                <w:sz w:val="20"/>
                <w:szCs w:val="20"/>
              </w:rPr>
              <w:t xml:space="preserve"> at the end of every term. </w:t>
            </w:r>
          </w:p>
          <w:p w:rsidR="00040425" w:rsidRPr="00102F9D" w:rsidRDefault="0066501C" w:rsidP="00465CE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children will take part in a triathlon next academic year – spring term. </w:t>
            </w:r>
            <w:r w:rsidR="00102F9D" w:rsidRPr="006650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 greater percentage of pupils to experience and enjoy representing the school in level 2 competitions</w:t>
            </w:r>
          </w:p>
        </w:tc>
        <w:tc>
          <w:tcPr>
            <w:tcW w:w="1040" w:type="dxa"/>
          </w:tcPr>
          <w:p w:rsidR="00040425" w:rsidRDefault="0066501C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£32</w:t>
            </w:r>
            <w:r w:rsidR="006304FA">
              <w:rPr>
                <w:sz w:val="20"/>
                <w:szCs w:val="20"/>
              </w:rPr>
              <w:t>00</w:t>
            </w:r>
          </w:p>
          <w:p w:rsidR="006304FA" w:rsidRPr="00131D8D" w:rsidRDefault="006304FA" w:rsidP="005E4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(transport costs)</w:t>
            </w:r>
          </w:p>
        </w:tc>
        <w:tc>
          <w:tcPr>
            <w:tcW w:w="4523" w:type="dxa"/>
            <w:gridSpan w:val="2"/>
          </w:tcPr>
          <w:p w:rsidR="00040425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that our schoo</w:t>
            </w:r>
            <w:r w:rsidR="001B3F61">
              <w:rPr>
                <w:sz w:val="20"/>
                <w:szCs w:val="20"/>
              </w:rPr>
              <w:t xml:space="preserve">l is represented in </w:t>
            </w:r>
            <w:r w:rsidR="001B3F61" w:rsidRPr="001B3F61">
              <w:rPr>
                <w:b/>
                <w:sz w:val="20"/>
                <w:szCs w:val="20"/>
              </w:rPr>
              <w:t>School Games</w:t>
            </w:r>
            <w:r w:rsidR="001B3F61">
              <w:rPr>
                <w:sz w:val="20"/>
                <w:szCs w:val="20"/>
              </w:rPr>
              <w:t xml:space="preserve"> </w:t>
            </w:r>
            <w:r w:rsidRPr="00131D8D">
              <w:rPr>
                <w:sz w:val="20"/>
                <w:szCs w:val="20"/>
              </w:rPr>
              <w:t>competitions.</w:t>
            </w:r>
            <w:r>
              <w:rPr>
                <w:sz w:val="20"/>
                <w:szCs w:val="20"/>
              </w:rPr>
              <w:t xml:space="preserve"> For us to organise and invite. Other schools.</w:t>
            </w:r>
          </w:p>
          <w:p w:rsidR="001B3F61" w:rsidRPr="00131D8D" w:rsidRDefault="00040425" w:rsidP="005E4137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Equally to ensure that if we are successful and win, that the pupils have the opportunity to compete at a district, county and possibly national level.</w:t>
            </w:r>
          </w:p>
        </w:tc>
        <w:tc>
          <w:tcPr>
            <w:tcW w:w="6072" w:type="dxa"/>
          </w:tcPr>
          <w:p w:rsidR="00102F9D" w:rsidRPr="00102F9D" w:rsidRDefault="0066501C" w:rsidP="005E4137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Local PE subject leaders meet regularly to arrange competitions for the children such a tasters of new activities, football and netball friendlies, 3 </w:t>
            </w:r>
            <w:proofErr w:type="spellStart"/>
            <w:r>
              <w:rPr>
                <w:b/>
                <w:sz w:val="20"/>
                <w:szCs w:val="20"/>
              </w:rPr>
              <w:t>ts</w:t>
            </w:r>
            <w:proofErr w:type="spellEnd"/>
            <w:r>
              <w:rPr>
                <w:b/>
                <w:sz w:val="20"/>
                <w:szCs w:val="20"/>
              </w:rPr>
              <w:t xml:space="preserve"> cricket tournaments, dodgeball tournament and track and field athletics. 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our SEND and disadvantaged pupils in particular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as well as other pupils</w:t>
            </w:r>
            <w:r>
              <w:rPr>
                <w:sz w:val="20"/>
                <w:szCs w:val="20"/>
              </w:rPr>
              <w:t>,</w:t>
            </w:r>
            <w:r w:rsidRPr="00131D8D">
              <w:rPr>
                <w:sz w:val="20"/>
                <w:szCs w:val="20"/>
              </w:rPr>
              <w:t xml:space="preserve"> to be more engaged in PE and School Sport</w:t>
            </w:r>
          </w:p>
        </w:tc>
        <w:tc>
          <w:tcPr>
            <w:tcW w:w="1040" w:type="dxa"/>
          </w:tcPr>
          <w:p w:rsidR="00040425" w:rsidRPr="00131D8D" w:rsidRDefault="0034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040425">
              <w:rPr>
                <w:sz w:val="20"/>
                <w:szCs w:val="20"/>
              </w:rPr>
              <w:t>00 from c</w:t>
            </w:r>
            <w:r w:rsidR="00040425" w:rsidRPr="00131D8D">
              <w:rPr>
                <w:sz w:val="20"/>
                <w:szCs w:val="20"/>
              </w:rPr>
              <w:t>ost of PE Specialist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New before school, lunch time and after school gym, basketball and orienteeri</w:t>
            </w:r>
            <w:r>
              <w:rPr>
                <w:sz w:val="20"/>
                <w:szCs w:val="20"/>
              </w:rPr>
              <w:t>ng clubs for targeted group.</w:t>
            </w:r>
          </w:p>
        </w:tc>
        <w:tc>
          <w:tcPr>
            <w:tcW w:w="6072" w:type="dxa"/>
          </w:tcPr>
          <w:p w:rsidR="00102F9D" w:rsidRPr="001C6D22" w:rsidRDefault="0066501C" w:rsidP="00465C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wide range of clubs offered with DP and SEN pupils getting priority spaces. </w:t>
            </w:r>
            <w:r w:rsidR="00102F9D" w:rsidRPr="006650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3F5A60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</w:t>
            </w:r>
            <w:proofErr w:type="gramStart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>3 :</w:t>
            </w:r>
            <w:proofErr w:type="gramEnd"/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Health and well being – To use physical activity to improve pupils’ health, wellbeing and educational outcomes e.g.  </w:t>
            </w:r>
          </w:p>
          <w:p w:rsidR="00040425" w:rsidRPr="00131D8D" w:rsidRDefault="00040425" w:rsidP="00040425">
            <w:pPr>
              <w:jc w:val="center"/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healthy lifestyles</w:t>
            </w: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 </w:t>
            </w:r>
            <w:r w:rsidRPr="00131D8D">
              <w:rPr>
                <w:rFonts w:eastAsiaTheme="minorEastAsia" w:cs="Arial"/>
                <w:sz w:val="24"/>
                <w:szCs w:val="24"/>
                <w:lang w:val="en-US"/>
              </w:rPr>
              <w:t>and encouraging the least active</w:t>
            </w:r>
          </w:p>
        </w:tc>
      </w:tr>
      <w:tr w:rsidR="00040425" w:rsidTr="00AA1EA0">
        <w:tc>
          <w:tcPr>
            <w:tcW w:w="3816" w:type="dxa"/>
          </w:tcPr>
          <w:p w:rsidR="00040425" w:rsidRPr="00131D8D" w:rsidRDefault="001B3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the ‘Daily </w:t>
            </w:r>
            <w:r w:rsidR="009D7D67">
              <w:rPr>
                <w:sz w:val="20"/>
                <w:szCs w:val="20"/>
              </w:rPr>
              <w:t xml:space="preserve"> M</w:t>
            </w:r>
            <w:r w:rsidR="00040425" w:rsidRPr="00131D8D">
              <w:rPr>
                <w:sz w:val="20"/>
                <w:szCs w:val="20"/>
              </w:rPr>
              <w:t>ile’ programme to improve the health, wellbeing and fitness of all pupils</w:t>
            </w:r>
          </w:p>
        </w:tc>
        <w:tc>
          <w:tcPr>
            <w:tcW w:w="1040" w:type="dxa"/>
          </w:tcPr>
          <w:p w:rsidR="00040425" w:rsidRPr="00131D8D" w:rsidRDefault="00462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For all pupils to take part in walking/jogging before during or after school day.</w:t>
            </w:r>
          </w:p>
        </w:tc>
        <w:tc>
          <w:tcPr>
            <w:tcW w:w="6072" w:type="dxa"/>
          </w:tcPr>
          <w:p w:rsidR="00040425" w:rsidRDefault="00E773AE" w:rsidP="001C6D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Timetable in place – all classes accessing.</w:t>
            </w:r>
          </w:p>
          <w:p w:rsidR="00102F9D" w:rsidRPr="00102F9D" w:rsidRDefault="0066501C" w:rsidP="001C6D2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the next academic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 xml:space="preserve"> the focus will be on using the daily mile as a well-being tool. Walk and talk sessions will be planned throughout the year. </w:t>
            </w:r>
          </w:p>
        </w:tc>
      </w:tr>
      <w:tr w:rsidR="000A41CE" w:rsidTr="00AA1EA0">
        <w:tc>
          <w:tcPr>
            <w:tcW w:w="3816" w:type="dxa"/>
          </w:tcPr>
          <w:p w:rsidR="000A41CE" w:rsidRPr="00131D8D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improve the knowledge of all children with regard to nutrition, sleep, mindfulness, teamwork and leadership and personal care.</w:t>
            </w:r>
          </w:p>
        </w:tc>
        <w:tc>
          <w:tcPr>
            <w:tcW w:w="1040" w:type="dxa"/>
          </w:tcPr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in the £350 cost of </w:t>
            </w:r>
            <w:proofErr w:type="spellStart"/>
            <w:r>
              <w:rPr>
                <w:sz w:val="20"/>
                <w:szCs w:val="20"/>
              </w:rPr>
              <w:t>Striver</w:t>
            </w:r>
            <w:proofErr w:type="spellEnd"/>
            <w:r>
              <w:rPr>
                <w:sz w:val="20"/>
                <w:szCs w:val="20"/>
              </w:rPr>
              <w:t xml:space="preserve"> scheme.</w:t>
            </w:r>
          </w:p>
        </w:tc>
        <w:tc>
          <w:tcPr>
            <w:tcW w:w="4523" w:type="dxa"/>
            <w:gridSpan w:val="2"/>
          </w:tcPr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teach one well-being unit every half term and upload the subsequent assessment data.</w:t>
            </w:r>
          </w:p>
          <w:p w:rsidR="000A41CE" w:rsidRDefault="000A4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leader will analyse this data and carry out dedicated pupil perceptions with a well-being focus.</w:t>
            </w:r>
          </w:p>
          <w:p w:rsidR="000A41CE" w:rsidRPr="00131D8D" w:rsidRDefault="000A41CE">
            <w:pPr>
              <w:rPr>
                <w:sz w:val="20"/>
                <w:szCs w:val="20"/>
              </w:rPr>
            </w:pPr>
          </w:p>
        </w:tc>
        <w:tc>
          <w:tcPr>
            <w:tcW w:w="6072" w:type="dxa"/>
          </w:tcPr>
          <w:p w:rsidR="00102F9D" w:rsidRPr="00102F9D" w:rsidRDefault="0046222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classes </w:t>
            </w:r>
            <w:proofErr w:type="gramStart"/>
            <w:r>
              <w:rPr>
                <w:b/>
                <w:sz w:val="20"/>
                <w:szCs w:val="20"/>
              </w:rPr>
              <w:t>will be given</w:t>
            </w:r>
            <w:proofErr w:type="gramEnd"/>
            <w:r>
              <w:rPr>
                <w:b/>
                <w:sz w:val="20"/>
                <w:szCs w:val="20"/>
              </w:rPr>
              <w:t xml:space="preserve"> specific units to cover throughout the year – teamwork, leadership, mindfulness, yoga, nutrition, sleep and well-being. </w:t>
            </w:r>
            <w:r w:rsidR="00102F9D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40425" w:rsidTr="008E3AC8">
        <w:tc>
          <w:tcPr>
            <w:tcW w:w="15451" w:type="dxa"/>
            <w:gridSpan w:val="5"/>
          </w:tcPr>
          <w:p w:rsidR="00040425" w:rsidRPr="00131D8D" w:rsidRDefault="00040425">
            <w:pPr>
              <w:rPr>
                <w:rFonts w:eastAsiaTheme="minorEastAsia" w:cs="Arial"/>
                <w:b/>
                <w:sz w:val="24"/>
                <w:szCs w:val="24"/>
                <w:lang w:val="en-US"/>
              </w:rPr>
            </w:pPr>
            <w:r w:rsidRPr="00131D8D">
              <w:rPr>
                <w:rFonts w:eastAsiaTheme="minorEastAsia" w:cs="Arial"/>
                <w:b/>
                <w:sz w:val="24"/>
                <w:szCs w:val="24"/>
                <w:lang w:val="en-US"/>
              </w:rPr>
              <w:t xml:space="preserve">Key Priority 4:  Raise the profile of PE and sport and physical activity as a tool for school improvement impacting on whole school priorities e.g. 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attendance,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behaviour, positive</w:t>
            </w:r>
            <w:r w:rsidRPr="00131D8D">
              <w:rPr>
                <w:rFonts w:eastAsiaTheme="minorEastAsia"/>
                <w:sz w:val="24"/>
                <w:szCs w:val="24"/>
                <w:lang w:val="en-US"/>
              </w:rPr>
              <w:t xml:space="preserve"> attitudes</w:t>
            </w:r>
          </w:p>
        </w:tc>
      </w:tr>
      <w:tr w:rsidR="00040425" w:rsidTr="00AA1EA0">
        <w:tc>
          <w:tcPr>
            <w:tcW w:w="3816" w:type="dxa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To ensure younger pupils have further opportunities to take part in PE the older pupils are able to demonstrate their maturity.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40425" w:rsidRPr="00131D8D" w:rsidRDefault="00341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bookmarkStart w:id="0" w:name="_GoBack"/>
            <w:bookmarkEnd w:id="0"/>
            <w:r>
              <w:rPr>
                <w:sz w:val="20"/>
                <w:szCs w:val="20"/>
              </w:rPr>
              <w:t>2</w:t>
            </w:r>
            <w:r w:rsidR="00040425" w:rsidRPr="00131D8D">
              <w:rPr>
                <w:sz w:val="20"/>
                <w:szCs w:val="20"/>
              </w:rPr>
              <w:t>00</w:t>
            </w: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:rsidR="00040425" w:rsidRPr="00131D8D" w:rsidRDefault="00040425">
            <w:pPr>
              <w:rPr>
                <w:sz w:val="20"/>
                <w:szCs w:val="20"/>
              </w:rPr>
            </w:pPr>
            <w:r w:rsidRPr="00131D8D">
              <w:rPr>
                <w:sz w:val="20"/>
                <w:szCs w:val="20"/>
              </w:rPr>
              <w:t>PE leader to train Y5/6 Sports Leaders to support the playground games of Y2 pupils.</w:t>
            </w: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CC0C64" w:rsidRPr="00CC0C64" w:rsidRDefault="0066501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Specialist training from PE teacher for year 5 and 6 pupils on how to deliver playground games to younger</w:t>
            </w:r>
            <w:r w:rsidR="00CC0C6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66501C">
              <w:rPr>
                <w:b/>
                <w:sz w:val="20"/>
                <w:szCs w:val="20"/>
              </w:rPr>
              <w:t xml:space="preserve">children. Purchase of new equipment. </w:t>
            </w:r>
          </w:p>
        </w:tc>
      </w:tr>
      <w:tr w:rsidR="00040425" w:rsidTr="008E3AC8">
        <w:tc>
          <w:tcPr>
            <w:tcW w:w="15451" w:type="dxa"/>
            <w:gridSpan w:val="5"/>
            <w:shd w:val="clear" w:color="auto" w:fill="DAEEF3" w:themeFill="accent5" w:themeFillTint="33"/>
          </w:tcPr>
          <w:p w:rsidR="00040425" w:rsidRDefault="00040425">
            <w:r>
              <w:t>Summary</w:t>
            </w:r>
          </w:p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received</w:t>
            </w:r>
            <w:r w:rsidR="00F71B77">
              <w:t xml:space="preserve"> 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 w:rsidP="00F049C6">
            <w:r>
              <w:t>Total Premium spend</w:t>
            </w:r>
            <w:r w:rsidR="002F64D7">
              <w:t xml:space="preserve"> </w:t>
            </w:r>
          </w:p>
        </w:tc>
        <w:tc>
          <w:tcPr>
            <w:tcW w:w="6072" w:type="dxa"/>
          </w:tcPr>
          <w:p w:rsidR="00040425" w:rsidRDefault="00040425"/>
        </w:tc>
      </w:tr>
      <w:tr w:rsidR="00040425" w:rsidTr="00AA1EA0">
        <w:tc>
          <w:tcPr>
            <w:tcW w:w="9379" w:type="dxa"/>
            <w:gridSpan w:val="4"/>
          </w:tcPr>
          <w:p w:rsidR="00040425" w:rsidRDefault="00040425">
            <w:r>
              <w:t>Premium remaining</w:t>
            </w:r>
          </w:p>
        </w:tc>
        <w:tc>
          <w:tcPr>
            <w:tcW w:w="6072" w:type="dxa"/>
          </w:tcPr>
          <w:p w:rsidR="00040425" w:rsidRDefault="00040425"/>
        </w:tc>
      </w:tr>
    </w:tbl>
    <w:p w:rsidR="00275A6B" w:rsidRDefault="00275A6B"/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1199"/>
        <w:gridCol w:w="4252"/>
      </w:tblGrid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lastRenderedPageBreak/>
              <w:t>Meeting national curriculum requirements for swimming and water safety</w:t>
            </w:r>
          </w:p>
        </w:tc>
        <w:tc>
          <w:tcPr>
            <w:tcW w:w="4252" w:type="dxa"/>
          </w:tcPr>
          <w:p w:rsidR="002F64D7" w:rsidRPr="002F64D7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Please complete all of the below*: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swim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competently,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2F64D7">
              <w:rPr>
                <w:rFonts w:asciiTheme="minorHAnsi" w:hAnsiTheme="minorHAnsi"/>
                <w:color w:val="231F20"/>
                <w:sz w:val="26"/>
              </w:rPr>
              <w:t>metres</w:t>
            </w:r>
            <w:proofErr w:type="spellEnd"/>
            <w:r w:rsidRPr="002F64D7">
              <w:rPr>
                <w:rFonts w:asciiTheme="minorHAnsi" w:hAnsiTheme="minorHAnsi"/>
                <w:color w:val="231F20"/>
                <w:sz w:val="26"/>
              </w:rPr>
              <w:t>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use a range of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strokes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effectively [for example, front crawl,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backstroke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 breaststroke]?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99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What percentage of your 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>current Year 6 cohort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 perform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safe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4252" w:type="dxa"/>
          </w:tcPr>
          <w:p w:rsidR="002F64D7" w:rsidRPr="006649CF" w:rsidRDefault="006649CF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80</w:t>
            </w:r>
            <w:r w:rsidR="002F64D7" w:rsidRPr="006649CF">
              <w:rPr>
                <w:rFonts w:asciiTheme="minorHAnsi" w:hAnsiTheme="minorHAnsi"/>
                <w:b/>
                <w:color w:val="231F20"/>
                <w:sz w:val="26"/>
              </w:rPr>
              <w:t>%</w:t>
            </w:r>
          </w:p>
        </w:tc>
      </w:tr>
      <w:tr w:rsidR="002F64D7" w:rsidTr="002F64D7">
        <w:tc>
          <w:tcPr>
            <w:tcW w:w="11199" w:type="dxa"/>
          </w:tcPr>
          <w:p w:rsidR="002F64D7" w:rsidRPr="002F64D7" w:rsidRDefault="002F64D7" w:rsidP="00BC1B16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6"/>
              </w:rPr>
            </w:pPr>
            <w:r w:rsidRPr="002F64D7">
              <w:rPr>
                <w:rFonts w:asciiTheme="minorHAnsi" w:hAnsiTheme="minorHAnsi"/>
                <w:color w:val="231F20"/>
                <w:sz w:val="26"/>
              </w:rPr>
              <w:t>Schools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can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choose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use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the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Primary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and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Sport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Premium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to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provide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additional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>provision</w:t>
            </w:r>
            <w:r w:rsidRPr="002F64D7">
              <w:rPr>
                <w:rFonts w:asciiTheme="minorHAnsi" w:hAnsiTheme="minorHAnsi"/>
                <w:color w:val="231F20"/>
                <w:spacing w:val="-4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for</w:t>
            </w:r>
            <w:r w:rsidRPr="002F64D7">
              <w:rPr>
                <w:rFonts w:asciiTheme="minorHAnsi" w:hAnsiTheme="minorHAnsi"/>
                <w:color w:val="231F20"/>
                <w:spacing w:val="-5"/>
                <w:sz w:val="26"/>
              </w:rPr>
              <w:t xml:space="preserve">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swimming but this must be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for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activity </w:t>
            </w:r>
            <w:r w:rsidRPr="002F64D7">
              <w:rPr>
                <w:rFonts w:asciiTheme="minorHAnsi" w:hAnsiTheme="minorHAnsi"/>
                <w:b/>
                <w:color w:val="231F20"/>
                <w:sz w:val="26"/>
              </w:rPr>
              <w:t xml:space="preserve">over and above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the national curriculum requirements.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 xml:space="preserve">Have </w:t>
            </w:r>
            <w:r w:rsidRPr="002F64D7">
              <w:rPr>
                <w:rFonts w:asciiTheme="minorHAnsi" w:hAnsiTheme="minorHAnsi"/>
                <w:color w:val="231F20"/>
                <w:sz w:val="26"/>
              </w:rPr>
              <w:t xml:space="preserve">you used it in this </w:t>
            </w:r>
            <w:r w:rsidRPr="002F64D7">
              <w:rPr>
                <w:rFonts w:asciiTheme="minorHAnsi" w:hAnsi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4252" w:type="dxa"/>
          </w:tcPr>
          <w:p w:rsidR="002F64D7" w:rsidRPr="006649CF" w:rsidRDefault="002F64D7" w:rsidP="00BC1B16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6"/>
              </w:rPr>
            </w:pPr>
            <w:r w:rsidRPr="006649CF">
              <w:rPr>
                <w:rFonts w:asciiTheme="minorHAnsi" w:hAnsiTheme="minorHAnsi"/>
                <w:b/>
                <w:color w:val="231F20"/>
                <w:sz w:val="26"/>
              </w:rPr>
              <w:t>No</w:t>
            </w:r>
          </w:p>
        </w:tc>
      </w:tr>
    </w:tbl>
    <w:p w:rsidR="002F64D7" w:rsidRPr="002F64D7" w:rsidRDefault="002F64D7" w:rsidP="002F64D7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  <w:r w:rsidRPr="002F64D7">
        <w:rPr>
          <w:rFonts w:ascii="Calibri" w:eastAsia="Calibri" w:hAnsi="Calibri" w:cs="Calibri"/>
          <w:sz w:val="26"/>
          <w:szCs w:val="26"/>
          <w:lang w:val="en-US"/>
        </w:rPr>
        <w:t>*Schools may wish to provide this information in April, just before the publication deadline.</w:t>
      </w:r>
    </w:p>
    <w:p w:rsidR="002F64D7" w:rsidRDefault="002F64D7"/>
    <w:sectPr w:rsidR="002F64D7" w:rsidSect="00E22CF2">
      <w:headerReference w:type="default" r:id="rId7"/>
      <w:pgSz w:w="16838" w:h="11906" w:orient="landscape"/>
      <w:pgMar w:top="127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EC" w:rsidRDefault="00EB22EC" w:rsidP="006C16A7">
      <w:pPr>
        <w:spacing w:after="0" w:line="240" w:lineRule="auto"/>
      </w:pPr>
      <w:r>
        <w:separator/>
      </w:r>
    </w:p>
  </w:endnote>
  <w:endnote w:type="continuationSeparator" w:id="0">
    <w:p w:rsidR="00EB22EC" w:rsidRDefault="00EB22EC" w:rsidP="006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EC" w:rsidRDefault="00EB22EC" w:rsidP="006C16A7">
      <w:pPr>
        <w:spacing w:after="0" w:line="240" w:lineRule="auto"/>
      </w:pPr>
      <w:r>
        <w:separator/>
      </w:r>
    </w:p>
  </w:footnote>
  <w:footnote w:type="continuationSeparator" w:id="0">
    <w:p w:rsidR="00EB22EC" w:rsidRDefault="00EB22EC" w:rsidP="006C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A7" w:rsidRDefault="006C16A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4565ED6" wp14:editId="0080E96D">
          <wp:extent cx="1854456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56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27C"/>
    <w:multiLevelType w:val="hybridMultilevel"/>
    <w:tmpl w:val="42320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63E"/>
    <w:multiLevelType w:val="hybridMultilevel"/>
    <w:tmpl w:val="5570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11A"/>
    <w:multiLevelType w:val="hybridMultilevel"/>
    <w:tmpl w:val="023E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6B"/>
    <w:rsid w:val="0001144D"/>
    <w:rsid w:val="00035372"/>
    <w:rsid w:val="00040425"/>
    <w:rsid w:val="000518F6"/>
    <w:rsid w:val="00062389"/>
    <w:rsid w:val="00063FE8"/>
    <w:rsid w:val="000A41CE"/>
    <w:rsid w:val="000D100B"/>
    <w:rsid w:val="00102F9D"/>
    <w:rsid w:val="00113CD1"/>
    <w:rsid w:val="001236BD"/>
    <w:rsid w:val="00131D8D"/>
    <w:rsid w:val="00150213"/>
    <w:rsid w:val="00154984"/>
    <w:rsid w:val="00170907"/>
    <w:rsid w:val="001B3A3B"/>
    <w:rsid w:val="001B3F61"/>
    <w:rsid w:val="001C6D22"/>
    <w:rsid w:val="001F7FA2"/>
    <w:rsid w:val="00222502"/>
    <w:rsid w:val="00242A85"/>
    <w:rsid w:val="002518FF"/>
    <w:rsid w:val="00275A6B"/>
    <w:rsid w:val="002B12A4"/>
    <w:rsid w:val="002B1603"/>
    <w:rsid w:val="002B616C"/>
    <w:rsid w:val="002D63CB"/>
    <w:rsid w:val="002F64D7"/>
    <w:rsid w:val="00317606"/>
    <w:rsid w:val="003418CE"/>
    <w:rsid w:val="0036116F"/>
    <w:rsid w:val="00362D7A"/>
    <w:rsid w:val="00392975"/>
    <w:rsid w:val="003F3494"/>
    <w:rsid w:val="003F5A60"/>
    <w:rsid w:val="0042308D"/>
    <w:rsid w:val="00441D7C"/>
    <w:rsid w:val="00462228"/>
    <w:rsid w:val="00465CE4"/>
    <w:rsid w:val="004A6738"/>
    <w:rsid w:val="004D1C5A"/>
    <w:rsid w:val="00533E8B"/>
    <w:rsid w:val="00581967"/>
    <w:rsid w:val="00586645"/>
    <w:rsid w:val="005B7865"/>
    <w:rsid w:val="00603E3C"/>
    <w:rsid w:val="00606372"/>
    <w:rsid w:val="00625BEE"/>
    <w:rsid w:val="006304FA"/>
    <w:rsid w:val="00630FD9"/>
    <w:rsid w:val="0065323E"/>
    <w:rsid w:val="00655738"/>
    <w:rsid w:val="006649CF"/>
    <w:rsid w:val="0066501C"/>
    <w:rsid w:val="00681E14"/>
    <w:rsid w:val="006C16A7"/>
    <w:rsid w:val="007426CA"/>
    <w:rsid w:val="00750DE1"/>
    <w:rsid w:val="0076477D"/>
    <w:rsid w:val="007779FA"/>
    <w:rsid w:val="007B252A"/>
    <w:rsid w:val="007D22FC"/>
    <w:rsid w:val="007D45B9"/>
    <w:rsid w:val="007D637A"/>
    <w:rsid w:val="007E3B16"/>
    <w:rsid w:val="00805135"/>
    <w:rsid w:val="00814DF2"/>
    <w:rsid w:val="00815809"/>
    <w:rsid w:val="008262C6"/>
    <w:rsid w:val="00842147"/>
    <w:rsid w:val="00881EA5"/>
    <w:rsid w:val="0088360E"/>
    <w:rsid w:val="008B1EF4"/>
    <w:rsid w:val="008E3AC8"/>
    <w:rsid w:val="008E5802"/>
    <w:rsid w:val="00900BEC"/>
    <w:rsid w:val="00923CFC"/>
    <w:rsid w:val="00951CB4"/>
    <w:rsid w:val="00972A0B"/>
    <w:rsid w:val="009A6DF8"/>
    <w:rsid w:val="009D7D67"/>
    <w:rsid w:val="00A56834"/>
    <w:rsid w:val="00A61741"/>
    <w:rsid w:val="00A92F36"/>
    <w:rsid w:val="00AA1EA0"/>
    <w:rsid w:val="00B46FFE"/>
    <w:rsid w:val="00B54C72"/>
    <w:rsid w:val="00BA3382"/>
    <w:rsid w:val="00BB421F"/>
    <w:rsid w:val="00BF0B5F"/>
    <w:rsid w:val="00BF54E6"/>
    <w:rsid w:val="00C032C3"/>
    <w:rsid w:val="00C25DAC"/>
    <w:rsid w:val="00C9108B"/>
    <w:rsid w:val="00C95AB5"/>
    <w:rsid w:val="00C96EAB"/>
    <w:rsid w:val="00CC0C64"/>
    <w:rsid w:val="00CC1CAC"/>
    <w:rsid w:val="00CC3F21"/>
    <w:rsid w:val="00CE714C"/>
    <w:rsid w:val="00D20598"/>
    <w:rsid w:val="00D44652"/>
    <w:rsid w:val="00D52189"/>
    <w:rsid w:val="00D537BC"/>
    <w:rsid w:val="00D622AB"/>
    <w:rsid w:val="00DA5C8D"/>
    <w:rsid w:val="00DB4A6C"/>
    <w:rsid w:val="00DC19B3"/>
    <w:rsid w:val="00DE0FB8"/>
    <w:rsid w:val="00E033D4"/>
    <w:rsid w:val="00E22CF2"/>
    <w:rsid w:val="00E35B36"/>
    <w:rsid w:val="00E41B4F"/>
    <w:rsid w:val="00E64471"/>
    <w:rsid w:val="00E773AE"/>
    <w:rsid w:val="00EB22EC"/>
    <w:rsid w:val="00EC5591"/>
    <w:rsid w:val="00F049C6"/>
    <w:rsid w:val="00F71B77"/>
    <w:rsid w:val="00F92751"/>
    <w:rsid w:val="00F93C3F"/>
    <w:rsid w:val="00FB06DD"/>
    <w:rsid w:val="00FB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F0D3"/>
  <w15:docId w15:val="{939CF1AB-D4EB-4C8A-A1D2-AFC19153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F64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brian.shaw</dc:creator>
  <cp:lastModifiedBy>Miss S Ainscough</cp:lastModifiedBy>
  <cp:revision>3</cp:revision>
  <cp:lastPrinted>2021-07-19T13:49:00Z</cp:lastPrinted>
  <dcterms:created xsi:type="dcterms:W3CDTF">2022-07-15T12:36:00Z</dcterms:created>
  <dcterms:modified xsi:type="dcterms:W3CDTF">2022-07-15T12:37:00Z</dcterms:modified>
</cp:coreProperties>
</file>