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84FE4" w14:textId="77777777" w:rsidR="005E0DD4" w:rsidRDefault="005E0DD4" w:rsidP="005E0DD4">
      <w:pPr>
        <w:spacing w:after="160" w:line="256" w:lineRule="auto"/>
        <w:jc w:val="center"/>
        <w:rPr>
          <w:rFonts w:asciiTheme="minorHAnsi" w:hAnsiTheme="minorHAnsi"/>
          <w:b/>
          <w:sz w:val="72"/>
          <w:szCs w:val="72"/>
          <w:lang w:val="en-US"/>
        </w:rPr>
      </w:pPr>
      <w:r>
        <w:rPr>
          <w:rFonts w:asciiTheme="minorHAnsi" w:hAnsiTheme="minorHAnsi"/>
          <w:b/>
          <w:sz w:val="72"/>
          <w:szCs w:val="72"/>
          <w:lang w:val="en-US"/>
        </w:rPr>
        <w:t>WENTWORTH</w:t>
      </w:r>
    </w:p>
    <w:p w14:paraId="057D89F7" w14:textId="77777777" w:rsidR="005E0DD4" w:rsidRDefault="005E0DD4" w:rsidP="005E0DD4">
      <w:pPr>
        <w:spacing w:after="160" w:line="256" w:lineRule="auto"/>
        <w:jc w:val="center"/>
        <w:rPr>
          <w:rFonts w:asciiTheme="minorHAnsi" w:hAnsiTheme="minorHAnsi"/>
          <w:b/>
          <w:sz w:val="72"/>
          <w:szCs w:val="72"/>
          <w:lang w:val="en-US"/>
        </w:rPr>
      </w:pPr>
      <w:r>
        <w:rPr>
          <w:rFonts w:asciiTheme="minorHAnsi" w:hAnsiTheme="minorHAnsi"/>
          <w:b/>
          <w:sz w:val="72"/>
          <w:szCs w:val="72"/>
          <w:lang w:val="en-US"/>
        </w:rPr>
        <w:t>PRIMARY SCHOOL</w:t>
      </w:r>
    </w:p>
    <w:p w14:paraId="3C227BAF" w14:textId="77777777" w:rsidR="005E0DD4" w:rsidRDefault="005E0DD4" w:rsidP="005E0DD4">
      <w:pPr>
        <w:spacing w:after="160" w:line="256" w:lineRule="auto"/>
        <w:rPr>
          <w:rFonts w:eastAsiaTheme="minorHAnsi"/>
        </w:rPr>
      </w:pPr>
    </w:p>
    <w:p w14:paraId="11EFBB55" w14:textId="430DBEC5" w:rsidR="005E0DD4" w:rsidRDefault="005E0DD4" w:rsidP="005E0DD4">
      <w:pPr>
        <w:spacing w:after="160" w:line="256" w:lineRule="auto"/>
        <w:jc w:val="center"/>
        <w:rPr>
          <w:rFonts w:eastAsiaTheme="minorHAnsi"/>
        </w:rPr>
      </w:pPr>
      <w:r>
        <w:rPr>
          <w:rFonts w:eastAsiaTheme="minorEastAsia"/>
          <w:noProof/>
          <w:lang w:eastAsia="en-GB"/>
        </w:rPr>
        <w:drawing>
          <wp:inline distT="0" distB="0" distL="0" distR="0" wp14:anchorId="37F9AFC1" wp14:editId="7CF0F5AC">
            <wp:extent cx="2552700" cy="2324100"/>
            <wp:effectExtent l="0" t="0" r="0" b="0"/>
            <wp:docPr id="1" name="Picture 1" descr="scho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0" cy="2324100"/>
                    </a:xfrm>
                    <a:prstGeom prst="rect">
                      <a:avLst/>
                    </a:prstGeom>
                    <a:noFill/>
                    <a:ln>
                      <a:noFill/>
                    </a:ln>
                  </pic:spPr>
                </pic:pic>
              </a:graphicData>
            </a:graphic>
          </wp:inline>
        </w:drawing>
      </w:r>
    </w:p>
    <w:p w14:paraId="34F25C6F" w14:textId="554C65D8" w:rsidR="005E0DD4" w:rsidRDefault="005E0DD4" w:rsidP="005E0DD4">
      <w:pPr>
        <w:spacing w:after="160" w:line="256" w:lineRule="auto"/>
        <w:rPr>
          <w:rFonts w:eastAsiaTheme="minorHAnsi"/>
        </w:rPr>
      </w:pPr>
    </w:p>
    <w:p w14:paraId="6EEBEEDA" w14:textId="77777777" w:rsidR="005E0DD4" w:rsidRDefault="005E0DD4" w:rsidP="005E0DD4">
      <w:pPr>
        <w:spacing w:after="160" w:line="256" w:lineRule="auto"/>
        <w:rPr>
          <w:rFonts w:eastAsiaTheme="minorHAnsi"/>
        </w:rPr>
      </w:pPr>
    </w:p>
    <w:p w14:paraId="64EF6C55" w14:textId="37036C05" w:rsidR="00142418" w:rsidRPr="005E0DD4" w:rsidRDefault="00FE0FFF" w:rsidP="005E0DD4">
      <w:pPr>
        <w:spacing w:line="240" w:lineRule="auto"/>
        <w:jc w:val="center"/>
        <w:rPr>
          <w:b/>
          <w:sz w:val="72"/>
          <w:szCs w:val="72"/>
        </w:rPr>
      </w:pPr>
      <w:r w:rsidRPr="00FE0FFF">
        <w:rPr>
          <w:b/>
          <w:sz w:val="72"/>
          <w:szCs w:val="72"/>
        </w:rPr>
        <w:t>Minimisation of</w:t>
      </w:r>
      <w:r w:rsidR="005E0DD4">
        <w:rPr>
          <w:b/>
          <w:sz w:val="72"/>
          <w:szCs w:val="72"/>
        </w:rPr>
        <w:t xml:space="preserve"> </w:t>
      </w:r>
      <w:r w:rsidRPr="00FE0FFF">
        <w:rPr>
          <w:b/>
          <w:sz w:val="72"/>
          <w:szCs w:val="72"/>
        </w:rPr>
        <w:t>Personal Data</w:t>
      </w:r>
      <w:r w:rsidR="005E0DD4">
        <w:rPr>
          <w:b/>
          <w:sz w:val="72"/>
          <w:szCs w:val="72"/>
        </w:rPr>
        <w:t xml:space="preserve"> </w:t>
      </w:r>
      <w:r w:rsidR="00F239CD">
        <w:rPr>
          <w:b/>
          <w:sz w:val="72"/>
          <w:szCs w:val="72"/>
        </w:rPr>
        <w:t>Procedure</w:t>
      </w:r>
    </w:p>
    <w:p w14:paraId="501BDBB5" w14:textId="534150A7" w:rsidR="00C76929" w:rsidRDefault="00C76929" w:rsidP="00E561F7">
      <w:pPr>
        <w:tabs>
          <w:tab w:val="left" w:pos="1708"/>
        </w:tabs>
        <w:spacing w:line="240" w:lineRule="auto"/>
        <w:jc w:val="both"/>
        <w:rPr>
          <w:b/>
          <w:color w:val="000000"/>
          <w:sz w:val="56"/>
          <w:szCs w:val="56"/>
        </w:rPr>
      </w:pPr>
      <w:r>
        <w:rPr>
          <w:b/>
          <w:color w:val="000000"/>
          <w:sz w:val="56"/>
          <w:szCs w:val="56"/>
        </w:rPr>
        <w:tab/>
      </w:r>
    </w:p>
    <w:p w14:paraId="0BBFF35C" w14:textId="77777777" w:rsidR="005E0DD4" w:rsidRDefault="005E0DD4" w:rsidP="00E561F7">
      <w:pPr>
        <w:tabs>
          <w:tab w:val="left" w:pos="1708"/>
        </w:tabs>
        <w:spacing w:line="240" w:lineRule="auto"/>
        <w:jc w:val="both"/>
        <w:rPr>
          <w:b/>
          <w:color w:val="000000"/>
          <w:sz w:val="56"/>
          <w:szCs w:val="56"/>
        </w:rPr>
      </w:pPr>
    </w:p>
    <w:tbl>
      <w:tblPr>
        <w:tblStyle w:val="TableGrid"/>
        <w:tblW w:w="9464" w:type="dxa"/>
        <w:tblLook w:val="04A0" w:firstRow="1" w:lastRow="0" w:firstColumn="1" w:lastColumn="0" w:noHBand="0" w:noVBand="1"/>
      </w:tblPr>
      <w:tblGrid>
        <w:gridCol w:w="2802"/>
        <w:gridCol w:w="6662"/>
      </w:tblGrid>
      <w:tr w:rsidR="00053222" w:rsidRPr="00E763B3" w14:paraId="65150E9E" w14:textId="77777777" w:rsidTr="00040BFD">
        <w:trPr>
          <w:trHeight w:hRule="exact" w:val="429"/>
        </w:trPr>
        <w:tc>
          <w:tcPr>
            <w:tcW w:w="2802" w:type="dxa"/>
            <w:shd w:val="clear" w:color="auto" w:fill="BFBFBF" w:themeFill="background1" w:themeFillShade="BF"/>
            <w:vAlign w:val="center"/>
          </w:tcPr>
          <w:p w14:paraId="47385332" w14:textId="77777777" w:rsidR="00053222" w:rsidRPr="00521A92" w:rsidRDefault="00053222" w:rsidP="00E561F7">
            <w:pPr>
              <w:spacing w:line="240" w:lineRule="auto"/>
              <w:rPr>
                <w:rFonts w:asciiTheme="minorHAnsi" w:hAnsiTheme="minorHAnsi"/>
                <w:sz w:val="28"/>
                <w:szCs w:val="28"/>
              </w:rPr>
            </w:pPr>
            <w:r w:rsidRPr="00521A92">
              <w:rPr>
                <w:rFonts w:asciiTheme="minorHAnsi" w:hAnsiTheme="minorHAnsi"/>
                <w:sz w:val="28"/>
                <w:szCs w:val="28"/>
              </w:rPr>
              <w:t>Title</w:t>
            </w:r>
          </w:p>
        </w:tc>
        <w:tc>
          <w:tcPr>
            <w:tcW w:w="6662" w:type="dxa"/>
            <w:vAlign w:val="center"/>
          </w:tcPr>
          <w:p w14:paraId="56DC8632" w14:textId="77777777" w:rsidR="00053222" w:rsidRPr="00521A92" w:rsidRDefault="00053222" w:rsidP="00E561F7">
            <w:pPr>
              <w:spacing w:line="240" w:lineRule="auto"/>
              <w:rPr>
                <w:rFonts w:asciiTheme="minorHAnsi" w:hAnsiTheme="minorHAnsi" w:cs="Arial"/>
                <w:color w:val="FF0000"/>
                <w:sz w:val="28"/>
                <w:szCs w:val="28"/>
              </w:rPr>
            </w:pPr>
            <w:r>
              <w:rPr>
                <w:rFonts w:asciiTheme="minorHAnsi" w:hAnsiTheme="minorHAnsi" w:cs="Arial"/>
                <w:sz w:val="28"/>
                <w:szCs w:val="28"/>
              </w:rPr>
              <w:t>Personal Data Minimisation</w:t>
            </w:r>
          </w:p>
        </w:tc>
      </w:tr>
      <w:tr w:rsidR="00053222" w:rsidRPr="00E763B3" w14:paraId="366228F0" w14:textId="77777777" w:rsidTr="00040BFD">
        <w:trPr>
          <w:trHeight w:hRule="exact" w:val="454"/>
        </w:trPr>
        <w:tc>
          <w:tcPr>
            <w:tcW w:w="2802" w:type="dxa"/>
            <w:shd w:val="clear" w:color="auto" w:fill="BFBFBF" w:themeFill="background1" w:themeFillShade="BF"/>
            <w:vAlign w:val="center"/>
          </w:tcPr>
          <w:p w14:paraId="73DEB729" w14:textId="77777777" w:rsidR="00053222" w:rsidRPr="00521A92" w:rsidRDefault="00053222" w:rsidP="00E561F7">
            <w:pPr>
              <w:spacing w:line="240" w:lineRule="auto"/>
              <w:rPr>
                <w:rFonts w:asciiTheme="minorHAnsi" w:hAnsiTheme="minorHAnsi" w:cs="Arial"/>
                <w:sz w:val="28"/>
                <w:szCs w:val="28"/>
              </w:rPr>
            </w:pPr>
            <w:r w:rsidRPr="00521A92">
              <w:rPr>
                <w:rFonts w:asciiTheme="minorHAnsi" w:hAnsiTheme="minorHAnsi" w:cs="Arial"/>
                <w:sz w:val="28"/>
                <w:szCs w:val="28"/>
              </w:rPr>
              <w:t>Status</w:t>
            </w:r>
          </w:p>
        </w:tc>
        <w:tc>
          <w:tcPr>
            <w:tcW w:w="6662" w:type="dxa"/>
            <w:vAlign w:val="center"/>
          </w:tcPr>
          <w:p w14:paraId="42259216" w14:textId="429C2CF0" w:rsidR="00053222" w:rsidRPr="005E0DD4" w:rsidRDefault="005E0DD4" w:rsidP="00E561F7">
            <w:pPr>
              <w:spacing w:line="240" w:lineRule="auto"/>
              <w:rPr>
                <w:rFonts w:asciiTheme="minorHAnsi" w:hAnsiTheme="minorHAnsi" w:cs="Arial"/>
                <w:sz w:val="28"/>
                <w:szCs w:val="28"/>
              </w:rPr>
            </w:pPr>
            <w:r w:rsidRPr="005E0DD4">
              <w:rPr>
                <w:rFonts w:asciiTheme="minorHAnsi" w:hAnsiTheme="minorHAnsi" w:cs="Arial"/>
                <w:sz w:val="28"/>
                <w:szCs w:val="28"/>
              </w:rPr>
              <w:t>Approved</w:t>
            </w:r>
          </w:p>
        </w:tc>
      </w:tr>
      <w:tr w:rsidR="00053222" w:rsidRPr="00E763B3" w14:paraId="5498C02E" w14:textId="77777777" w:rsidTr="00040BFD">
        <w:trPr>
          <w:trHeight w:hRule="exact" w:val="454"/>
        </w:trPr>
        <w:tc>
          <w:tcPr>
            <w:tcW w:w="2802" w:type="dxa"/>
            <w:shd w:val="clear" w:color="auto" w:fill="BFBFBF" w:themeFill="background1" w:themeFillShade="BF"/>
            <w:vAlign w:val="center"/>
          </w:tcPr>
          <w:p w14:paraId="6EC95BF2" w14:textId="77777777" w:rsidR="00053222" w:rsidRPr="00521A92" w:rsidRDefault="00053222" w:rsidP="00E561F7">
            <w:pPr>
              <w:spacing w:line="240" w:lineRule="auto"/>
              <w:rPr>
                <w:rFonts w:asciiTheme="minorHAnsi" w:hAnsiTheme="minorHAnsi" w:cs="Arial"/>
                <w:sz w:val="28"/>
                <w:szCs w:val="28"/>
              </w:rPr>
            </w:pPr>
            <w:r w:rsidRPr="00521A92">
              <w:rPr>
                <w:rFonts w:asciiTheme="minorHAnsi" w:hAnsiTheme="minorHAnsi" w:cs="Arial"/>
                <w:sz w:val="28"/>
                <w:szCs w:val="28"/>
              </w:rPr>
              <w:t>Version</w:t>
            </w:r>
          </w:p>
        </w:tc>
        <w:tc>
          <w:tcPr>
            <w:tcW w:w="6662" w:type="dxa"/>
            <w:vAlign w:val="center"/>
          </w:tcPr>
          <w:p w14:paraId="3DD94E2C" w14:textId="1B98BD36" w:rsidR="00053222" w:rsidRPr="005E0DD4" w:rsidRDefault="00053222" w:rsidP="00E561F7">
            <w:pPr>
              <w:spacing w:line="240" w:lineRule="auto"/>
              <w:rPr>
                <w:rFonts w:asciiTheme="minorHAnsi" w:hAnsiTheme="minorHAnsi" w:cs="Arial"/>
                <w:sz w:val="28"/>
                <w:szCs w:val="28"/>
              </w:rPr>
            </w:pPr>
            <w:r w:rsidRPr="005E0DD4">
              <w:rPr>
                <w:rFonts w:asciiTheme="minorHAnsi" w:hAnsiTheme="minorHAnsi" w:cs="Arial"/>
                <w:sz w:val="28"/>
                <w:szCs w:val="28"/>
              </w:rPr>
              <w:t>V</w:t>
            </w:r>
            <w:r w:rsidR="005D0C8E" w:rsidRPr="005E0DD4">
              <w:rPr>
                <w:rFonts w:asciiTheme="minorHAnsi" w:hAnsiTheme="minorHAnsi" w:cs="Arial"/>
                <w:sz w:val="28"/>
                <w:szCs w:val="28"/>
              </w:rPr>
              <w:t>2</w:t>
            </w:r>
            <w:r w:rsidRPr="005E0DD4">
              <w:rPr>
                <w:rFonts w:asciiTheme="minorHAnsi" w:hAnsiTheme="minorHAnsi" w:cs="Arial"/>
                <w:sz w:val="28"/>
                <w:szCs w:val="28"/>
              </w:rPr>
              <w:t>.0</w:t>
            </w:r>
          </w:p>
        </w:tc>
      </w:tr>
      <w:tr w:rsidR="00053222" w:rsidRPr="00E763B3" w14:paraId="1FC7060B" w14:textId="77777777" w:rsidTr="00040BFD">
        <w:trPr>
          <w:trHeight w:hRule="exact" w:val="454"/>
        </w:trPr>
        <w:tc>
          <w:tcPr>
            <w:tcW w:w="2802" w:type="dxa"/>
            <w:shd w:val="clear" w:color="auto" w:fill="BFBFBF" w:themeFill="background1" w:themeFillShade="BF"/>
            <w:vAlign w:val="center"/>
          </w:tcPr>
          <w:p w14:paraId="03118885" w14:textId="77777777" w:rsidR="00053222" w:rsidRPr="00521A92" w:rsidRDefault="00053222" w:rsidP="00E561F7">
            <w:pPr>
              <w:spacing w:line="240" w:lineRule="auto"/>
              <w:rPr>
                <w:rFonts w:asciiTheme="minorHAnsi" w:hAnsiTheme="minorHAnsi" w:cs="Arial"/>
                <w:sz w:val="28"/>
                <w:szCs w:val="28"/>
              </w:rPr>
            </w:pPr>
            <w:r w:rsidRPr="00521A92">
              <w:rPr>
                <w:rFonts w:asciiTheme="minorHAnsi" w:hAnsiTheme="minorHAnsi" w:cs="Arial"/>
                <w:sz w:val="28"/>
                <w:szCs w:val="28"/>
              </w:rPr>
              <w:t>Date Approved</w:t>
            </w:r>
          </w:p>
        </w:tc>
        <w:tc>
          <w:tcPr>
            <w:tcW w:w="6662" w:type="dxa"/>
            <w:vAlign w:val="center"/>
          </w:tcPr>
          <w:p w14:paraId="52AF07B1" w14:textId="5EB67336" w:rsidR="00053222" w:rsidRPr="005E0DD4" w:rsidRDefault="005E0DD4" w:rsidP="00E561F7">
            <w:pPr>
              <w:spacing w:line="240" w:lineRule="auto"/>
              <w:rPr>
                <w:rFonts w:asciiTheme="minorHAnsi" w:hAnsiTheme="minorHAnsi" w:cs="Arial"/>
                <w:sz w:val="28"/>
                <w:szCs w:val="28"/>
              </w:rPr>
            </w:pPr>
            <w:r w:rsidRPr="005E0DD4">
              <w:rPr>
                <w:rFonts w:asciiTheme="minorHAnsi" w:hAnsiTheme="minorHAnsi" w:cs="Arial"/>
                <w:sz w:val="28"/>
                <w:szCs w:val="28"/>
              </w:rPr>
              <w:t>19/01/2022</w:t>
            </w:r>
          </w:p>
        </w:tc>
      </w:tr>
      <w:tr w:rsidR="00053222" w:rsidRPr="00E763B3" w14:paraId="39E56888" w14:textId="77777777" w:rsidTr="00040BFD">
        <w:trPr>
          <w:trHeight w:hRule="exact" w:val="454"/>
        </w:trPr>
        <w:tc>
          <w:tcPr>
            <w:tcW w:w="2802" w:type="dxa"/>
            <w:shd w:val="clear" w:color="auto" w:fill="BFBFBF" w:themeFill="background1" w:themeFillShade="BF"/>
            <w:vAlign w:val="center"/>
          </w:tcPr>
          <w:p w14:paraId="313F9E54" w14:textId="77777777" w:rsidR="00053222" w:rsidRPr="00040BFD" w:rsidRDefault="00053222" w:rsidP="00E561F7">
            <w:pPr>
              <w:spacing w:line="240" w:lineRule="auto"/>
              <w:rPr>
                <w:rFonts w:asciiTheme="minorHAnsi" w:hAnsiTheme="minorHAnsi" w:cs="Arial"/>
                <w:sz w:val="28"/>
                <w:szCs w:val="28"/>
              </w:rPr>
            </w:pPr>
            <w:r w:rsidRPr="00521A92">
              <w:rPr>
                <w:rFonts w:asciiTheme="minorHAnsi" w:hAnsiTheme="minorHAnsi" w:cs="Arial"/>
                <w:sz w:val="28"/>
                <w:szCs w:val="28"/>
              </w:rPr>
              <w:t>Review Date</w:t>
            </w:r>
          </w:p>
        </w:tc>
        <w:tc>
          <w:tcPr>
            <w:tcW w:w="6662" w:type="dxa"/>
            <w:vAlign w:val="center"/>
          </w:tcPr>
          <w:p w14:paraId="70A9B72F" w14:textId="0D7CB0E9" w:rsidR="00053222" w:rsidRPr="005E0DD4" w:rsidRDefault="00417AB4" w:rsidP="005E0DD4">
            <w:pPr>
              <w:spacing w:line="240" w:lineRule="auto"/>
              <w:rPr>
                <w:rFonts w:asciiTheme="minorHAnsi" w:hAnsiTheme="minorHAnsi" w:cs="Arial"/>
                <w:sz w:val="28"/>
                <w:szCs w:val="28"/>
              </w:rPr>
            </w:pPr>
            <w:r>
              <w:rPr>
                <w:rFonts w:asciiTheme="minorHAnsi" w:hAnsiTheme="minorHAnsi" w:cs="Arial"/>
                <w:sz w:val="28"/>
                <w:szCs w:val="28"/>
              </w:rPr>
              <w:t>19/01/2023</w:t>
            </w:r>
            <w:bookmarkStart w:id="0" w:name="_GoBack"/>
            <w:bookmarkEnd w:id="0"/>
            <w:r w:rsidR="005E0DD4" w:rsidRPr="005E0DD4">
              <w:rPr>
                <w:rFonts w:asciiTheme="minorHAnsi" w:hAnsiTheme="minorHAnsi" w:cs="Arial"/>
                <w:sz w:val="28"/>
                <w:szCs w:val="28"/>
              </w:rPr>
              <w:t xml:space="preserve"> reviewed annually</w:t>
            </w:r>
          </w:p>
        </w:tc>
      </w:tr>
    </w:tbl>
    <w:p w14:paraId="30E7F6F5" w14:textId="77777777" w:rsidR="00C76929" w:rsidRDefault="00C76929" w:rsidP="00E561F7">
      <w:pPr>
        <w:tabs>
          <w:tab w:val="left" w:pos="1708"/>
        </w:tabs>
        <w:spacing w:line="240" w:lineRule="auto"/>
        <w:jc w:val="both"/>
        <w:rPr>
          <w:b/>
          <w:color w:val="000000"/>
          <w:sz w:val="56"/>
          <w:szCs w:val="56"/>
        </w:rPr>
      </w:pPr>
    </w:p>
    <w:bookmarkStart w:id="1" w:name="_Toc335504656" w:displacedByCustomXml="next"/>
    <w:sdt>
      <w:sdtPr>
        <w:rPr>
          <w:rFonts w:ascii="Arial" w:eastAsia="Calibri" w:hAnsi="Arial" w:cs="Arial"/>
          <w:b/>
          <w:bCs w:val="0"/>
          <w:color w:val="auto"/>
          <w:sz w:val="24"/>
          <w:szCs w:val="24"/>
          <w:lang w:val="en-GB" w:eastAsia="en-US"/>
        </w:rPr>
        <w:id w:val="-1538814214"/>
        <w:docPartObj>
          <w:docPartGallery w:val="Table of Contents"/>
          <w:docPartUnique/>
        </w:docPartObj>
      </w:sdtPr>
      <w:sdtEndPr>
        <w:rPr>
          <w:b w:val="0"/>
          <w:noProof/>
        </w:rPr>
      </w:sdtEndPr>
      <w:sdtContent>
        <w:p w14:paraId="1763559E" w14:textId="6E5C434D" w:rsidR="00C76929" w:rsidRPr="00A24858" w:rsidRDefault="00C76929" w:rsidP="005E0DD4">
          <w:pPr>
            <w:pStyle w:val="TOCHeading"/>
            <w:spacing w:line="240" w:lineRule="auto"/>
            <w:jc w:val="both"/>
            <w:rPr>
              <w:rFonts w:ascii="Arial" w:hAnsi="Arial" w:cs="Arial"/>
              <w:color w:val="auto"/>
            </w:rPr>
          </w:pPr>
          <w:r w:rsidRPr="00A24858">
            <w:rPr>
              <w:rFonts w:ascii="Arial" w:hAnsi="Arial" w:cs="Arial"/>
              <w:color w:val="auto"/>
            </w:rPr>
            <w:t>Contents</w:t>
          </w:r>
        </w:p>
        <w:p w14:paraId="58D85DAC" w14:textId="77777777" w:rsidR="00C76929" w:rsidRPr="00A24858" w:rsidRDefault="00C76929" w:rsidP="00E561F7">
          <w:pPr>
            <w:spacing w:line="240" w:lineRule="auto"/>
            <w:jc w:val="both"/>
            <w:rPr>
              <w:lang w:val="en-US" w:eastAsia="ja-JP"/>
            </w:rPr>
          </w:pPr>
        </w:p>
        <w:p w14:paraId="46061FC0" w14:textId="02E5F3B9" w:rsidR="00A30D9B" w:rsidRDefault="00C76929">
          <w:pPr>
            <w:pStyle w:val="TOC1"/>
            <w:tabs>
              <w:tab w:val="left" w:pos="851"/>
            </w:tabs>
            <w:rPr>
              <w:rFonts w:asciiTheme="minorHAnsi" w:eastAsiaTheme="minorEastAsia" w:hAnsiTheme="minorHAnsi" w:cstheme="minorBidi"/>
              <w:sz w:val="22"/>
              <w:szCs w:val="22"/>
            </w:rPr>
          </w:pPr>
          <w:r w:rsidRPr="00A24858">
            <w:rPr>
              <w:rFonts w:cs="Arial"/>
            </w:rPr>
            <w:fldChar w:fldCharType="begin"/>
          </w:r>
          <w:r w:rsidRPr="00A24858">
            <w:rPr>
              <w:rFonts w:cs="Arial"/>
            </w:rPr>
            <w:instrText xml:space="preserve"> TOC \o "1-3" \h \z \u </w:instrText>
          </w:r>
          <w:r w:rsidRPr="00A24858">
            <w:rPr>
              <w:rFonts w:cs="Arial"/>
            </w:rPr>
            <w:fldChar w:fldCharType="separate"/>
          </w:r>
          <w:hyperlink w:anchor="_Toc67579829" w:history="1">
            <w:r w:rsidR="00A30D9B" w:rsidRPr="00F71F6D">
              <w:rPr>
                <w:rStyle w:val="Hyperlink"/>
                <w:rFonts w:eastAsia="Calibri"/>
              </w:rPr>
              <w:t>1.</w:t>
            </w:r>
            <w:r w:rsidR="00A30D9B">
              <w:rPr>
                <w:rFonts w:asciiTheme="minorHAnsi" w:eastAsiaTheme="minorEastAsia" w:hAnsiTheme="minorHAnsi" w:cstheme="minorBidi"/>
                <w:sz w:val="22"/>
                <w:szCs w:val="22"/>
              </w:rPr>
              <w:tab/>
            </w:r>
            <w:r w:rsidR="00A30D9B" w:rsidRPr="00F71F6D">
              <w:rPr>
                <w:rStyle w:val="Hyperlink"/>
                <w:rFonts w:eastAsia="Calibri"/>
              </w:rPr>
              <w:t>Quick Reference Guide</w:t>
            </w:r>
            <w:r w:rsidR="00A30D9B">
              <w:rPr>
                <w:webHidden/>
              </w:rPr>
              <w:tab/>
            </w:r>
            <w:r w:rsidR="00A30D9B">
              <w:rPr>
                <w:webHidden/>
              </w:rPr>
              <w:fldChar w:fldCharType="begin"/>
            </w:r>
            <w:r w:rsidR="00A30D9B">
              <w:rPr>
                <w:webHidden/>
              </w:rPr>
              <w:instrText xml:space="preserve"> PAGEREF _Toc67579829 \h </w:instrText>
            </w:r>
            <w:r w:rsidR="00A30D9B">
              <w:rPr>
                <w:webHidden/>
              </w:rPr>
            </w:r>
            <w:r w:rsidR="00A30D9B">
              <w:rPr>
                <w:webHidden/>
              </w:rPr>
              <w:fldChar w:fldCharType="separate"/>
            </w:r>
            <w:r w:rsidR="00A30D9B">
              <w:rPr>
                <w:webHidden/>
              </w:rPr>
              <w:t>3</w:t>
            </w:r>
            <w:r w:rsidR="00A30D9B">
              <w:rPr>
                <w:webHidden/>
              </w:rPr>
              <w:fldChar w:fldCharType="end"/>
            </w:r>
          </w:hyperlink>
        </w:p>
        <w:p w14:paraId="73FCE0B7" w14:textId="56A5929F" w:rsidR="00A30D9B" w:rsidRDefault="00417AB4">
          <w:pPr>
            <w:pStyle w:val="TOC1"/>
            <w:tabs>
              <w:tab w:val="left" w:pos="851"/>
            </w:tabs>
            <w:rPr>
              <w:rFonts w:asciiTheme="minorHAnsi" w:eastAsiaTheme="minorEastAsia" w:hAnsiTheme="minorHAnsi" w:cstheme="minorBidi"/>
              <w:sz w:val="22"/>
              <w:szCs w:val="22"/>
            </w:rPr>
          </w:pPr>
          <w:hyperlink w:anchor="_Toc67579830" w:history="1">
            <w:r w:rsidR="00A30D9B" w:rsidRPr="00F71F6D">
              <w:rPr>
                <w:rStyle w:val="Hyperlink"/>
                <w:rFonts w:eastAsia="Calibri"/>
              </w:rPr>
              <w:t>2.</w:t>
            </w:r>
            <w:r w:rsidR="00A30D9B">
              <w:rPr>
                <w:rFonts w:asciiTheme="minorHAnsi" w:eastAsiaTheme="minorEastAsia" w:hAnsiTheme="minorHAnsi" w:cstheme="minorBidi"/>
                <w:sz w:val="22"/>
                <w:szCs w:val="22"/>
              </w:rPr>
              <w:tab/>
            </w:r>
            <w:r w:rsidR="00A30D9B" w:rsidRPr="00F71F6D">
              <w:rPr>
                <w:rStyle w:val="Hyperlink"/>
                <w:rFonts w:eastAsia="Calibri"/>
              </w:rPr>
              <w:t>Policy References</w:t>
            </w:r>
            <w:r w:rsidR="00A30D9B">
              <w:rPr>
                <w:webHidden/>
              </w:rPr>
              <w:tab/>
            </w:r>
            <w:r w:rsidR="00A30D9B">
              <w:rPr>
                <w:webHidden/>
              </w:rPr>
              <w:fldChar w:fldCharType="begin"/>
            </w:r>
            <w:r w:rsidR="00A30D9B">
              <w:rPr>
                <w:webHidden/>
              </w:rPr>
              <w:instrText xml:space="preserve"> PAGEREF _Toc67579830 \h </w:instrText>
            </w:r>
            <w:r w:rsidR="00A30D9B">
              <w:rPr>
                <w:webHidden/>
              </w:rPr>
            </w:r>
            <w:r w:rsidR="00A30D9B">
              <w:rPr>
                <w:webHidden/>
              </w:rPr>
              <w:fldChar w:fldCharType="separate"/>
            </w:r>
            <w:r w:rsidR="00A30D9B">
              <w:rPr>
                <w:webHidden/>
              </w:rPr>
              <w:t>3</w:t>
            </w:r>
            <w:r w:rsidR="00A30D9B">
              <w:rPr>
                <w:webHidden/>
              </w:rPr>
              <w:fldChar w:fldCharType="end"/>
            </w:r>
          </w:hyperlink>
        </w:p>
        <w:p w14:paraId="4745AFC3" w14:textId="0BC25F03" w:rsidR="00A30D9B" w:rsidRDefault="00417AB4">
          <w:pPr>
            <w:pStyle w:val="TOC1"/>
            <w:tabs>
              <w:tab w:val="left" w:pos="851"/>
            </w:tabs>
            <w:rPr>
              <w:rFonts w:asciiTheme="minorHAnsi" w:eastAsiaTheme="minorEastAsia" w:hAnsiTheme="minorHAnsi" w:cstheme="minorBidi"/>
              <w:sz w:val="22"/>
              <w:szCs w:val="22"/>
            </w:rPr>
          </w:pPr>
          <w:hyperlink w:anchor="_Toc67579831" w:history="1">
            <w:r w:rsidR="00A30D9B" w:rsidRPr="00F71F6D">
              <w:rPr>
                <w:rStyle w:val="Hyperlink"/>
                <w:rFonts w:eastAsia="Calibri"/>
              </w:rPr>
              <w:t>3.</w:t>
            </w:r>
            <w:r w:rsidR="00A30D9B">
              <w:rPr>
                <w:rFonts w:asciiTheme="minorHAnsi" w:eastAsiaTheme="minorEastAsia" w:hAnsiTheme="minorHAnsi" w:cstheme="minorBidi"/>
                <w:sz w:val="22"/>
                <w:szCs w:val="22"/>
              </w:rPr>
              <w:tab/>
            </w:r>
            <w:r w:rsidR="00A30D9B" w:rsidRPr="00F71F6D">
              <w:rPr>
                <w:rStyle w:val="Hyperlink"/>
                <w:rFonts w:eastAsia="Calibri"/>
              </w:rPr>
              <w:t>Data Minimisation Procedure</w:t>
            </w:r>
            <w:r w:rsidR="00A30D9B">
              <w:rPr>
                <w:webHidden/>
              </w:rPr>
              <w:tab/>
            </w:r>
            <w:r w:rsidR="00A30D9B">
              <w:rPr>
                <w:webHidden/>
              </w:rPr>
              <w:fldChar w:fldCharType="begin"/>
            </w:r>
            <w:r w:rsidR="00A30D9B">
              <w:rPr>
                <w:webHidden/>
              </w:rPr>
              <w:instrText xml:space="preserve"> PAGEREF _Toc67579831 \h </w:instrText>
            </w:r>
            <w:r w:rsidR="00A30D9B">
              <w:rPr>
                <w:webHidden/>
              </w:rPr>
            </w:r>
            <w:r w:rsidR="00A30D9B">
              <w:rPr>
                <w:webHidden/>
              </w:rPr>
              <w:fldChar w:fldCharType="separate"/>
            </w:r>
            <w:r w:rsidR="00A30D9B">
              <w:rPr>
                <w:webHidden/>
              </w:rPr>
              <w:t>3</w:t>
            </w:r>
            <w:r w:rsidR="00A30D9B">
              <w:rPr>
                <w:webHidden/>
              </w:rPr>
              <w:fldChar w:fldCharType="end"/>
            </w:r>
          </w:hyperlink>
        </w:p>
        <w:p w14:paraId="5774993D" w14:textId="3FE94D79" w:rsidR="00A30D9B" w:rsidRDefault="00417AB4">
          <w:pPr>
            <w:pStyle w:val="TOC2"/>
            <w:tabs>
              <w:tab w:val="right" w:leader="dot" w:pos="9016"/>
            </w:tabs>
            <w:rPr>
              <w:rFonts w:asciiTheme="minorHAnsi" w:eastAsiaTheme="minorEastAsia" w:hAnsiTheme="minorHAnsi" w:cstheme="minorBidi"/>
              <w:noProof/>
              <w:sz w:val="22"/>
              <w:szCs w:val="22"/>
              <w:lang w:eastAsia="en-GB"/>
            </w:rPr>
          </w:pPr>
          <w:hyperlink w:anchor="_Toc67579832" w:history="1">
            <w:r w:rsidR="00A30D9B" w:rsidRPr="00F71F6D">
              <w:rPr>
                <w:rStyle w:val="Hyperlink"/>
                <w:noProof/>
              </w:rPr>
              <w:t>Obtaining Minimal Personal Data</w:t>
            </w:r>
            <w:r w:rsidR="00A30D9B">
              <w:rPr>
                <w:noProof/>
                <w:webHidden/>
              </w:rPr>
              <w:tab/>
            </w:r>
            <w:r w:rsidR="00A30D9B">
              <w:rPr>
                <w:noProof/>
                <w:webHidden/>
              </w:rPr>
              <w:fldChar w:fldCharType="begin"/>
            </w:r>
            <w:r w:rsidR="00A30D9B">
              <w:rPr>
                <w:noProof/>
                <w:webHidden/>
              </w:rPr>
              <w:instrText xml:space="preserve"> PAGEREF _Toc67579832 \h </w:instrText>
            </w:r>
            <w:r w:rsidR="00A30D9B">
              <w:rPr>
                <w:noProof/>
                <w:webHidden/>
              </w:rPr>
            </w:r>
            <w:r w:rsidR="00A30D9B">
              <w:rPr>
                <w:noProof/>
                <w:webHidden/>
              </w:rPr>
              <w:fldChar w:fldCharType="separate"/>
            </w:r>
            <w:r w:rsidR="00A30D9B">
              <w:rPr>
                <w:noProof/>
                <w:webHidden/>
              </w:rPr>
              <w:t>3</w:t>
            </w:r>
            <w:r w:rsidR="00A30D9B">
              <w:rPr>
                <w:noProof/>
                <w:webHidden/>
              </w:rPr>
              <w:fldChar w:fldCharType="end"/>
            </w:r>
          </w:hyperlink>
        </w:p>
        <w:p w14:paraId="2F27AB5A" w14:textId="228DABDA" w:rsidR="00A30D9B" w:rsidRDefault="00417AB4">
          <w:pPr>
            <w:pStyle w:val="TOC2"/>
            <w:tabs>
              <w:tab w:val="right" w:leader="dot" w:pos="9016"/>
            </w:tabs>
            <w:rPr>
              <w:rFonts w:asciiTheme="minorHAnsi" w:eastAsiaTheme="minorEastAsia" w:hAnsiTheme="minorHAnsi" w:cstheme="minorBidi"/>
              <w:noProof/>
              <w:sz w:val="22"/>
              <w:szCs w:val="22"/>
              <w:lang w:eastAsia="en-GB"/>
            </w:rPr>
          </w:pPr>
          <w:hyperlink w:anchor="_Toc67579833" w:history="1">
            <w:r w:rsidR="00A30D9B" w:rsidRPr="00F71F6D">
              <w:rPr>
                <w:rStyle w:val="Hyperlink"/>
                <w:noProof/>
              </w:rPr>
              <w:t>Removing Personal Data (Anonymising &amp; Pseudonymising)</w:t>
            </w:r>
            <w:r w:rsidR="00A30D9B">
              <w:rPr>
                <w:noProof/>
                <w:webHidden/>
              </w:rPr>
              <w:tab/>
            </w:r>
            <w:r w:rsidR="00A30D9B">
              <w:rPr>
                <w:noProof/>
                <w:webHidden/>
              </w:rPr>
              <w:fldChar w:fldCharType="begin"/>
            </w:r>
            <w:r w:rsidR="00A30D9B">
              <w:rPr>
                <w:noProof/>
                <w:webHidden/>
              </w:rPr>
              <w:instrText xml:space="preserve"> PAGEREF _Toc67579833 \h </w:instrText>
            </w:r>
            <w:r w:rsidR="00A30D9B">
              <w:rPr>
                <w:noProof/>
                <w:webHidden/>
              </w:rPr>
            </w:r>
            <w:r w:rsidR="00A30D9B">
              <w:rPr>
                <w:noProof/>
                <w:webHidden/>
              </w:rPr>
              <w:fldChar w:fldCharType="separate"/>
            </w:r>
            <w:r w:rsidR="00A30D9B">
              <w:rPr>
                <w:noProof/>
                <w:webHidden/>
              </w:rPr>
              <w:t>4</w:t>
            </w:r>
            <w:r w:rsidR="00A30D9B">
              <w:rPr>
                <w:noProof/>
                <w:webHidden/>
              </w:rPr>
              <w:fldChar w:fldCharType="end"/>
            </w:r>
          </w:hyperlink>
        </w:p>
        <w:p w14:paraId="1FE56EA5" w14:textId="08A028D5" w:rsidR="00A30D9B" w:rsidRDefault="00417AB4">
          <w:pPr>
            <w:pStyle w:val="TOC1"/>
            <w:tabs>
              <w:tab w:val="left" w:pos="851"/>
            </w:tabs>
            <w:rPr>
              <w:rFonts w:asciiTheme="minorHAnsi" w:eastAsiaTheme="minorEastAsia" w:hAnsiTheme="minorHAnsi" w:cstheme="minorBidi"/>
              <w:sz w:val="22"/>
              <w:szCs w:val="22"/>
            </w:rPr>
          </w:pPr>
          <w:hyperlink w:anchor="_Toc67579834" w:history="1">
            <w:r w:rsidR="00A30D9B" w:rsidRPr="00F71F6D">
              <w:rPr>
                <w:rStyle w:val="Hyperlink"/>
                <w:rFonts w:eastAsia="Calibri"/>
              </w:rPr>
              <w:t>4.</w:t>
            </w:r>
            <w:r w:rsidR="00A30D9B">
              <w:rPr>
                <w:rFonts w:asciiTheme="minorHAnsi" w:eastAsiaTheme="minorEastAsia" w:hAnsiTheme="minorHAnsi" w:cstheme="minorBidi"/>
                <w:sz w:val="22"/>
                <w:szCs w:val="22"/>
              </w:rPr>
              <w:tab/>
            </w:r>
            <w:r w:rsidR="00A30D9B" w:rsidRPr="00F71F6D">
              <w:rPr>
                <w:rStyle w:val="Hyperlink"/>
                <w:rFonts w:eastAsia="Calibri"/>
              </w:rPr>
              <w:t>Advice and Support</w:t>
            </w:r>
            <w:r w:rsidR="00A30D9B">
              <w:rPr>
                <w:webHidden/>
              </w:rPr>
              <w:tab/>
            </w:r>
            <w:r w:rsidR="00A30D9B">
              <w:rPr>
                <w:webHidden/>
              </w:rPr>
              <w:fldChar w:fldCharType="begin"/>
            </w:r>
            <w:r w:rsidR="00A30D9B">
              <w:rPr>
                <w:webHidden/>
              </w:rPr>
              <w:instrText xml:space="preserve"> PAGEREF _Toc67579834 \h </w:instrText>
            </w:r>
            <w:r w:rsidR="00A30D9B">
              <w:rPr>
                <w:webHidden/>
              </w:rPr>
            </w:r>
            <w:r w:rsidR="00A30D9B">
              <w:rPr>
                <w:webHidden/>
              </w:rPr>
              <w:fldChar w:fldCharType="separate"/>
            </w:r>
            <w:r w:rsidR="00A30D9B">
              <w:rPr>
                <w:webHidden/>
              </w:rPr>
              <w:t>7</w:t>
            </w:r>
            <w:r w:rsidR="00A30D9B">
              <w:rPr>
                <w:webHidden/>
              </w:rPr>
              <w:fldChar w:fldCharType="end"/>
            </w:r>
          </w:hyperlink>
        </w:p>
        <w:p w14:paraId="3FD26657" w14:textId="70169894" w:rsidR="00A30D9B" w:rsidRDefault="00417AB4">
          <w:pPr>
            <w:pStyle w:val="TOC1"/>
            <w:tabs>
              <w:tab w:val="left" w:pos="851"/>
            </w:tabs>
            <w:rPr>
              <w:rFonts w:asciiTheme="minorHAnsi" w:eastAsiaTheme="minorEastAsia" w:hAnsiTheme="minorHAnsi" w:cstheme="minorBidi"/>
              <w:sz w:val="22"/>
              <w:szCs w:val="22"/>
            </w:rPr>
          </w:pPr>
          <w:hyperlink w:anchor="_Toc67579835" w:history="1">
            <w:r w:rsidR="00A30D9B" w:rsidRPr="00F71F6D">
              <w:rPr>
                <w:rStyle w:val="Hyperlink"/>
                <w:rFonts w:eastAsia="Calibri"/>
              </w:rPr>
              <w:t>5.</w:t>
            </w:r>
            <w:r w:rsidR="00A30D9B">
              <w:rPr>
                <w:rFonts w:asciiTheme="minorHAnsi" w:eastAsiaTheme="minorEastAsia" w:hAnsiTheme="minorHAnsi" w:cstheme="minorBidi"/>
                <w:sz w:val="22"/>
                <w:szCs w:val="22"/>
              </w:rPr>
              <w:tab/>
            </w:r>
            <w:r w:rsidR="00A30D9B" w:rsidRPr="00F71F6D">
              <w:rPr>
                <w:rStyle w:val="Hyperlink"/>
                <w:rFonts w:eastAsia="Calibri"/>
              </w:rPr>
              <w:t>Breach Statement</w:t>
            </w:r>
            <w:r w:rsidR="00A30D9B">
              <w:rPr>
                <w:webHidden/>
              </w:rPr>
              <w:tab/>
            </w:r>
            <w:r w:rsidR="00A30D9B">
              <w:rPr>
                <w:webHidden/>
              </w:rPr>
              <w:fldChar w:fldCharType="begin"/>
            </w:r>
            <w:r w:rsidR="00A30D9B">
              <w:rPr>
                <w:webHidden/>
              </w:rPr>
              <w:instrText xml:space="preserve"> PAGEREF _Toc67579835 \h </w:instrText>
            </w:r>
            <w:r w:rsidR="00A30D9B">
              <w:rPr>
                <w:webHidden/>
              </w:rPr>
            </w:r>
            <w:r w:rsidR="00A30D9B">
              <w:rPr>
                <w:webHidden/>
              </w:rPr>
              <w:fldChar w:fldCharType="separate"/>
            </w:r>
            <w:r w:rsidR="00A30D9B">
              <w:rPr>
                <w:webHidden/>
              </w:rPr>
              <w:t>7</w:t>
            </w:r>
            <w:r w:rsidR="00A30D9B">
              <w:rPr>
                <w:webHidden/>
              </w:rPr>
              <w:fldChar w:fldCharType="end"/>
            </w:r>
          </w:hyperlink>
        </w:p>
        <w:p w14:paraId="10710AE1" w14:textId="05ACEC81" w:rsidR="00C76929" w:rsidRDefault="00C76929" w:rsidP="00E561F7">
          <w:pPr>
            <w:spacing w:line="240" w:lineRule="auto"/>
            <w:jc w:val="both"/>
          </w:pPr>
          <w:r w:rsidRPr="00A24858">
            <w:rPr>
              <w:b/>
              <w:bCs/>
              <w:noProof/>
            </w:rPr>
            <w:fldChar w:fldCharType="end"/>
          </w:r>
        </w:p>
      </w:sdtContent>
    </w:sdt>
    <w:p w14:paraId="5BBB0F3C" w14:textId="77777777" w:rsidR="00C76929" w:rsidRDefault="00C76929" w:rsidP="00E561F7">
      <w:pPr>
        <w:spacing w:after="0" w:line="240" w:lineRule="auto"/>
        <w:jc w:val="both"/>
      </w:pPr>
    </w:p>
    <w:p w14:paraId="1488EB27" w14:textId="7486E4E1" w:rsidR="00300ED7" w:rsidRPr="00AB5679" w:rsidRDefault="00C76929" w:rsidP="00E561F7">
      <w:pPr>
        <w:spacing w:after="0" w:line="240" w:lineRule="auto"/>
        <w:jc w:val="both"/>
        <w:rPr>
          <w:b/>
          <w:bCs/>
          <w:kern w:val="32"/>
        </w:rPr>
      </w:pPr>
      <w:r>
        <w:br w:type="page"/>
      </w:r>
      <w:bookmarkEnd w:id="1"/>
    </w:p>
    <w:p w14:paraId="63B1F090" w14:textId="77777777" w:rsidR="00300ED7" w:rsidRDefault="00300ED7" w:rsidP="00E561F7">
      <w:pPr>
        <w:pStyle w:val="Heading1"/>
        <w:numPr>
          <w:ilvl w:val="0"/>
          <w:numId w:val="11"/>
        </w:numPr>
        <w:spacing w:line="240" w:lineRule="auto"/>
      </w:pPr>
      <w:bookmarkStart w:id="2" w:name="_Toc67579829"/>
      <w:r>
        <w:lastRenderedPageBreak/>
        <w:t>Quick Reference Guide</w:t>
      </w:r>
      <w:bookmarkEnd w:id="2"/>
    </w:p>
    <w:p w14:paraId="3C66A366" w14:textId="77777777" w:rsidR="00300ED7" w:rsidRDefault="00300ED7" w:rsidP="00E561F7">
      <w:pPr>
        <w:pStyle w:val="ListParagraph"/>
        <w:numPr>
          <w:ilvl w:val="0"/>
          <w:numId w:val="23"/>
        </w:numPr>
        <w:spacing w:before="240" w:line="240" w:lineRule="auto"/>
      </w:pPr>
      <w:r>
        <w:t>The Data Protection Act 2018 applies the GDPR which includes principle e) which states p</w:t>
      </w:r>
      <w:r w:rsidRPr="00300ED7">
        <w:t>ersonal data shall be:</w:t>
      </w:r>
    </w:p>
    <w:p w14:paraId="489746C9" w14:textId="77777777" w:rsidR="00300ED7" w:rsidRDefault="00300ED7" w:rsidP="00E561F7">
      <w:pPr>
        <w:pStyle w:val="ListParagraph"/>
        <w:numPr>
          <w:ilvl w:val="1"/>
          <w:numId w:val="23"/>
        </w:numPr>
        <w:spacing w:before="240" w:line="240" w:lineRule="auto"/>
      </w:pPr>
      <w:r>
        <w:t>Kept in a form which permits identification of data subjects for no longer than is necessary for the purposes for which they are processed</w:t>
      </w:r>
    </w:p>
    <w:p w14:paraId="6E8378D7" w14:textId="77777777" w:rsidR="00300ED7" w:rsidRDefault="00300ED7" w:rsidP="00E561F7">
      <w:pPr>
        <w:pStyle w:val="ListParagraph"/>
        <w:numPr>
          <w:ilvl w:val="0"/>
          <w:numId w:val="23"/>
        </w:numPr>
        <w:spacing w:before="240" w:line="240" w:lineRule="auto"/>
      </w:pPr>
      <w:r>
        <w:t>Identifiable personal data must only be used where it is not possible to meet your objective with de-personalised data</w:t>
      </w:r>
    </w:p>
    <w:p w14:paraId="44BFB88E" w14:textId="77777777" w:rsidR="00300ED7" w:rsidRDefault="00300ED7" w:rsidP="00E561F7">
      <w:pPr>
        <w:pStyle w:val="ListParagraph"/>
        <w:numPr>
          <w:ilvl w:val="0"/>
          <w:numId w:val="23"/>
        </w:numPr>
        <w:spacing w:before="240" w:line="240" w:lineRule="auto"/>
      </w:pPr>
      <w:r>
        <w:t>Wherever possible identifiable personal data should be replaced with anonymised or pseudonymised data</w:t>
      </w:r>
    </w:p>
    <w:p w14:paraId="0A180185" w14:textId="77777777" w:rsidR="00300ED7" w:rsidRDefault="00300ED7" w:rsidP="00E561F7">
      <w:pPr>
        <w:pStyle w:val="ListParagraph"/>
        <w:numPr>
          <w:ilvl w:val="0"/>
          <w:numId w:val="23"/>
        </w:numPr>
        <w:spacing w:before="240" w:line="240" w:lineRule="auto"/>
      </w:pPr>
      <w:r>
        <w:t xml:space="preserve">You must ensure that personal data is anonymised/pseudonymised using an </w:t>
      </w:r>
      <w:hyperlink w:anchor="HSCIC" w:history="1">
        <w:r w:rsidRPr="00A0606B">
          <w:rPr>
            <w:rStyle w:val="Hyperlink"/>
          </w:rPr>
          <w:t>industry standard</w:t>
        </w:r>
      </w:hyperlink>
      <w:r>
        <w:t xml:space="preserve"> </w:t>
      </w:r>
    </w:p>
    <w:p w14:paraId="55FF0E4D" w14:textId="3995A19F" w:rsidR="00300ED7" w:rsidRDefault="00300ED7" w:rsidP="00E561F7">
      <w:pPr>
        <w:pStyle w:val="ListParagraph"/>
        <w:numPr>
          <w:ilvl w:val="0"/>
          <w:numId w:val="23"/>
        </w:numPr>
        <w:spacing w:before="240" w:line="240" w:lineRule="auto"/>
      </w:pPr>
      <w:r>
        <w:t>Individuals have the right to be told when you are using their personal data, even if anonymised/pseudonymised</w:t>
      </w:r>
      <w:r w:rsidR="00FB2B25">
        <w:t>. Privacy Notices must be in place</w:t>
      </w:r>
    </w:p>
    <w:p w14:paraId="34D488A6" w14:textId="77777777" w:rsidR="00300ED7" w:rsidRDefault="00300ED7" w:rsidP="00E561F7">
      <w:pPr>
        <w:pStyle w:val="ListParagraph"/>
        <w:numPr>
          <w:ilvl w:val="0"/>
          <w:numId w:val="23"/>
        </w:numPr>
        <w:spacing w:before="240" w:line="240" w:lineRule="auto"/>
      </w:pPr>
      <w:r>
        <w:t>Appropriate safeguards must be in place when publishing anonymised/pseudonymised datasets.</w:t>
      </w:r>
    </w:p>
    <w:p w14:paraId="6B3CA789" w14:textId="07F8694B" w:rsidR="009264C8" w:rsidRDefault="00A81783" w:rsidP="00E561F7">
      <w:pPr>
        <w:pStyle w:val="Heading1"/>
        <w:numPr>
          <w:ilvl w:val="0"/>
          <w:numId w:val="11"/>
        </w:numPr>
        <w:spacing w:line="240" w:lineRule="auto"/>
      </w:pPr>
      <w:bookmarkStart w:id="3" w:name="_Toc67579830"/>
      <w:r>
        <w:t>Policy References</w:t>
      </w:r>
      <w:bookmarkEnd w:id="3"/>
    </w:p>
    <w:p w14:paraId="5FEC27EE" w14:textId="77777777" w:rsidR="00DD527C" w:rsidRPr="00DD527C" w:rsidRDefault="00DD527C" w:rsidP="00DD527C">
      <w:pPr>
        <w:spacing w:after="0"/>
      </w:pPr>
    </w:p>
    <w:p w14:paraId="0F355FED" w14:textId="0E69055B" w:rsidR="008E1D6C" w:rsidRPr="003673DA" w:rsidRDefault="008E1D6C" w:rsidP="00E561F7">
      <w:pPr>
        <w:spacing w:line="240" w:lineRule="auto"/>
      </w:pPr>
      <w:r w:rsidRPr="008E1D6C">
        <w:t xml:space="preserve">This procedure is </w:t>
      </w:r>
      <w:r w:rsidR="00886297">
        <w:t xml:space="preserve">a </w:t>
      </w:r>
      <w:r w:rsidRPr="008E1D6C">
        <w:t xml:space="preserve">requirement of the </w:t>
      </w:r>
      <w:r w:rsidR="003673DA" w:rsidRPr="003673DA">
        <w:t>Data Protection Policy</w:t>
      </w:r>
      <w:r w:rsidR="00F3179E">
        <w:t>.</w:t>
      </w:r>
    </w:p>
    <w:p w14:paraId="0DADC61E" w14:textId="18F1E793" w:rsidR="00D224A8" w:rsidRDefault="003673DA" w:rsidP="00E561F7">
      <w:pPr>
        <w:pStyle w:val="Heading1"/>
        <w:numPr>
          <w:ilvl w:val="0"/>
          <w:numId w:val="11"/>
        </w:numPr>
        <w:spacing w:line="240" w:lineRule="auto"/>
      </w:pPr>
      <w:bookmarkStart w:id="4" w:name="_Toc67579831"/>
      <w:r w:rsidRPr="00E94627">
        <w:t>Data Minimisation Procedure</w:t>
      </w:r>
      <w:bookmarkEnd w:id="4"/>
    </w:p>
    <w:p w14:paraId="134DBC36" w14:textId="77777777" w:rsidR="00DD527C" w:rsidRPr="00DD527C" w:rsidRDefault="00DD527C" w:rsidP="00DD527C">
      <w:pPr>
        <w:spacing w:after="0"/>
      </w:pPr>
    </w:p>
    <w:p w14:paraId="3F034474" w14:textId="77777777" w:rsidR="00D224A8" w:rsidRDefault="003D503C" w:rsidP="00E561F7">
      <w:pPr>
        <w:pStyle w:val="Heading2"/>
        <w:spacing w:line="240" w:lineRule="auto"/>
      </w:pPr>
      <w:bookmarkStart w:id="5" w:name="_Toc67579832"/>
      <w:r>
        <w:t xml:space="preserve">Obtaining </w:t>
      </w:r>
      <w:r w:rsidR="003673DA" w:rsidRPr="003673DA">
        <w:t>Minimal Personal Data</w:t>
      </w:r>
      <w:bookmarkEnd w:id="5"/>
    </w:p>
    <w:p w14:paraId="6F8BC89A" w14:textId="77777777" w:rsidR="00E561F7" w:rsidRDefault="00E561F7" w:rsidP="00E561F7">
      <w:pPr>
        <w:spacing w:after="0" w:line="240" w:lineRule="auto"/>
        <w:rPr>
          <w:b/>
        </w:rPr>
      </w:pPr>
    </w:p>
    <w:p w14:paraId="4CA3E2C3" w14:textId="79ACA6E6" w:rsidR="00EA4E50" w:rsidRPr="00E561F7" w:rsidRDefault="00EA4E50" w:rsidP="00E561F7">
      <w:pPr>
        <w:spacing w:after="0" w:line="240" w:lineRule="auto"/>
        <w:rPr>
          <w:b/>
        </w:rPr>
      </w:pPr>
      <w:r w:rsidRPr="00F3179E">
        <w:rPr>
          <w:b/>
        </w:rPr>
        <w:t>Legal Requirement</w:t>
      </w:r>
    </w:p>
    <w:p w14:paraId="7FF84882" w14:textId="652C7029" w:rsidR="00EA4E50" w:rsidRDefault="00EA4E50" w:rsidP="0060555F">
      <w:pPr>
        <w:spacing w:line="240" w:lineRule="auto"/>
      </w:pPr>
      <w:r w:rsidRPr="00EA4E50">
        <w:t xml:space="preserve">Data Protection law requires all Organisations to </w:t>
      </w:r>
      <w:r>
        <w:t xml:space="preserve">ensure that the personal data they </w:t>
      </w:r>
      <w:r w:rsidR="00F60CF4">
        <w:t>obtain,</w:t>
      </w:r>
      <w:r>
        <w:t xml:space="preserve"> and process is limited to the minimal amount required to effectively achieve the purpose for which it was obtained:</w:t>
      </w:r>
    </w:p>
    <w:p w14:paraId="49248F2F" w14:textId="5E2C39CC" w:rsidR="00EA4E50" w:rsidRPr="0060555F" w:rsidRDefault="00EA4E50" w:rsidP="0060555F">
      <w:pPr>
        <w:spacing w:line="240" w:lineRule="auto"/>
        <w:rPr>
          <w:i/>
        </w:rPr>
      </w:pPr>
      <w:r w:rsidRPr="00F3179E">
        <w:rPr>
          <w:i/>
        </w:rPr>
        <w:t>Personal data shall be: “adequate, relevant and limited to what is necessary in relation to the purposes for which they are processed”</w:t>
      </w:r>
    </w:p>
    <w:p w14:paraId="1A95E7CD" w14:textId="77777777" w:rsidR="00EA4E50" w:rsidRPr="00EA4E50" w:rsidRDefault="00EA4E50" w:rsidP="00E561F7">
      <w:pPr>
        <w:pStyle w:val="ListParagraph"/>
        <w:spacing w:line="240" w:lineRule="auto"/>
        <w:ind w:left="1418"/>
        <w:jc w:val="right"/>
        <w:rPr>
          <w:sz w:val="20"/>
          <w:szCs w:val="20"/>
        </w:rPr>
      </w:pPr>
      <w:r w:rsidRPr="00EA4E50">
        <w:rPr>
          <w:sz w:val="20"/>
          <w:szCs w:val="20"/>
        </w:rPr>
        <w:t xml:space="preserve">General Data Protection Regulations 2016, </w:t>
      </w:r>
      <w:r>
        <w:rPr>
          <w:sz w:val="20"/>
          <w:szCs w:val="20"/>
        </w:rPr>
        <w:t>Article 5(c)</w:t>
      </w:r>
    </w:p>
    <w:p w14:paraId="03EA6244" w14:textId="77777777" w:rsidR="00EA4E50" w:rsidRDefault="00EA4E50" w:rsidP="0060555F">
      <w:pPr>
        <w:pStyle w:val="ListParagraph"/>
        <w:spacing w:after="0" w:line="240" w:lineRule="auto"/>
        <w:ind w:left="1224"/>
      </w:pPr>
    </w:p>
    <w:p w14:paraId="51C8866C" w14:textId="77777777" w:rsidR="00EA4E50" w:rsidRPr="00F3179E" w:rsidRDefault="00EA4E50" w:rsidP="0060555F">
      <w:pPr>
        <w:spacing w:after="0" w:line="240" w:lineRule="auto"/>
        <w:rPr>
          <w:b/>
        </w:rPr>
      </w:pPr>
      <w:r w:rsidRPr="00F3179E">
        <w:rPr>
          <w:b/>
        </w:rPr>
        <w:t>Privacy by Design</w:t>
      </w:r>
    </w:p>
    <w:p w14:paraId="14D9AE29" w14:textId="77777777" w:rsidR="00EA4E50" w:rsidRDefault="00EA4E50" w:rsidP="00E561F7">
      <w:pPr>
        <w:spacing w:line="240" w:lineRule="auto"/>
      </w:pPr>
      <w:r>
        <w:t>In order to comply with the requirement of Principle 5(c), and to be able to evidence to the Regulator that compliance is embedded within the privacy culture of the organisation, the following measures must be in place:</w:t>
      </w:r>
    </w:p>
    <w:p w14:paraId="246018CE" w14:textId="331B2652" w:rsidR="00231FC7" w:rsidRPr="008C17B5" w:rsidRDefault="00231FC7" w:rsidP="008C17B5">
      <w:pPr>
        <w:spacing w:line="240" w:lineRule="auto"/>
        <w:rPr>
          <w:i/>
        </w:rPr>
      </w:pPr>
      <w:r w:rsidRPr="00F3179E">
        <w:rPr>
          <w:i/>
        </w:rPr>
        <w:t>Record of Processing Activity</w:t>
      </w:r>
    </w:p>
    <w:p w14:paraId="15A45EFF" w14:textId="21A9F80D" w:rsidR="00231FC7" w:rsidRDefault="00231FC7" w:rsidP="00E561F7">
      <w:pPr>
        <w:pStyle w:val="ListParagraph"/>
        <w:numPr>
          <w:ilvl w:val="0"/>
          <w:numId w:val="12"/>
        </w:numPr>
        <w:spacing w:line="240" w:lineRule="auto"/>
      </w:pPr>
      <w:r>
        <w:t>All flows of personal data into the Organisation must be identified on the Data Lifecycle Mapping element of our Record of Processing Activity</w:t>
      </w:r>
      <w:r w:rsidR="008C17B5">
        <w:t xml:space="preserve"> (H1)</w:t>
      </w:r>
      <w:r>
        <w:t xml:space="preserve">. </w:t>
      </w:r>
    </w:p>
    <w:p w14:paraId="5DDD0D0A" w14:textId="77777777" w:rsidR="00231FC7" w:rsidRDefault="00231FC7" w:rsidP="00E561F7">
      <w:pPr>
        <w:pStyle w:val="ListParagraph"/>
        <w:numPr>
          <w:ilvl w:val="0"/>
          <w:numId w:val="12"/>
        </w:numPr>
        <w:spacing w:line="240" w:lineRule="auto"/>
      </w:pPr>
      <w:r>
        <w:t xml:space="preserve">From this data, we can ensure we identify all instances where personal data is obtained </w:t>
      </w:r>
    </w:p>
    <w:p w14:paraId="044A1F83" w14:textId="18629B80" w:rsidR="00231FC7" w:rsidRDefault="00231FC7" w:rsidP="00E561F7">
      <w:pPr>
        <w:pStyle w:val="ListParagraph"/>
        <w:numPr>
          <w:ilvl w:val="0"/>
          <w:numId w:val="12"/>
        </w:numPr>
        <w:spacing w:line="240" w:lineRule="auto"/>
      </w:pPr>
      <w:r>
        <w:t>From this basis we can ensure that all methods of collecting personal information from Data Subjects are reviewed to ensure that they are provided with</w:t>
      </w:r>
      <w:r w:rsidR="00D87390">
        <w:t>,</w:t>
      </w:r>
      <w:r>
        <w:t xml:space="preserve"> or linked to</w:t>
      </w:r>
      <w:r w:rsidR="00D87390">
        <w:t>,</w:t>
      </w:r>
      <w:r>
        <w:t xml:space="preserve"> a Privacy Notice which includes detail compliant with the law.</w:t>
      </w:r>
    </w:p>
    <w:p w14:paraId="2AA7A721" w14:textId="77777777" w:rsidR="00231FC7" w:rsidRDefault="00231FC7" w:rsidP="00E561F7">
      <w:pPr>
        <w:pStyle w:val="ListParagraph"/>
        <w:spacing w:line="240" w:lineRule="auto"/>
        <w:ind w:left="1152"/>
      </w:pPr>
    </w:p>
    <w:p w14:paraId="6DA7A33E" w14:textId="2A340518" w:rsidR="00231FC7" w:rsidRPr="00D87390" w:rsidRDefault="00231FC7" w:rsidP="00D87390">
      <w:pPr>
        <w:spacing w:line="240" w:lineRule="auto"/>
        <w:rPr>
          <w:i/>
        </w:rPr>
      </w:pPr>
      <w:r w:rsidRPr="00F3179E">
        <w:rPr>
          <w:i/>
        </w:rPr>
        <w:t>Data Collection</w:t>
      </w:r>
    </w:p>
    <w:p w14:paraId="532E74D6" w14:textId="77777777" w:rsidR="00231FC7" w:rsidRDefault="00003049" w:rsidP="00E561F7">
      <w:pPr>
        <w:pStyle w:val="ListParagraph"/>
        <w:numPr>
          <w:ilvl w:val="0"/>
          <w:numId w:val="21"/>
        </w:numPr>
        <w:spacing w:line="240" w:lineRule="auto"/>
      </w:pPr>
      <w:r>
        <w:t xml:space="preserve">The </w:t>
      </w:r>
      <w:r w:rsidR="00231FC7">
        <w:t xml:space="preserve">Data Collection forms (i.e. the means by which the Data Subject provides personal data to us) must </w:t>
      </w:r>
      <w:r>
        <w:t>be reviewed to ensure they gather only information that is relevant to the stated purposes</w:t>
      </w:r>
    </w:p>
    <w:p w14:paraId="38452490" w14:textId="77777777" w:rsidR="00003049" w:rsidRDefault="00003049" w:rsidP="00E561F7">
      <w:pPr>
        <w:pStyle w:val="ListParagraph"/>
        <w:numPr>
          <w:ilvl w:val="0"/>
          <w:numId w:val="21"/>
        </w:numPr>
        <w:spacing w:line="240" w:lineRule="auto"/>
      </w:pPr>
      <w:r>
        <w:t>Forms must actively limit the scope for Data Subjects to provide additional superfluous personal data, making good use of tick boxes, clearly worded text boxes specifying what data is required</w:t>
      </w:r>
      <w:r w:rsidR="003D503C">
        <w:t>,</w:t>
      </w:r>
      <w:r>
        <w:t xml:space="preserve"> and avoiding the use of ‘free-text’ boxes where narrative responses invite uncontrolled provision of data.</w:t>
      </w:r>
    </w:p>
    <w:p w14:paraId="4F987497" w14:textId="77777777" w:rsidR="00003049" w:rsidRDefault="00003049" w:rsidP="00E561F7">
      <w:pPr>
        <w:pStyle w:val="ListParagraph"/>
        <w:numPr>
          <w:ilvl w:val="0"/>
          <w:numId w:val="21"/>
        </w:numPr>
        <w:spacing w:line="240" w:lineRule="auto"/>
      </w:pPr>
      <w:r>
        <w:t xml:space="preserve">Forms should avoid requesting ‘desirable’ or ‘nice-to-have’ data as by definition this is not ‘necessary’ </w:t>
      </w:r>
      <w:r w:rsidR="003D503C">
        <w:t>to fulfil</w:t>
      </w:r>
      <w:r>
        <w:t xml:space="preserve"> the stated purposes</w:t>
      </w:r>
      <w:r w:rsidR="003D503C">
        <w:t>.</w:t>
      </w:r>
    </w:p>
    <w:p w14:paraId="26BD9B40" w14:textId="77777777" w:rsidR="003D503C" w:rsidRDefault="003D503C" w:rsidP="00E561F7">
      <w:pPr>
        <w:pStyle w:val="ListParagraph"/>
        <w:spacing w:line="240" w:lineRule="auto"/>
        <w:ind w:left="2088"/>
      </w:pPr>
    </w:p>
    <w:p w14:paraId="4F0689A9" w14:textId="527D77E3" w:rsidR="003D503C" w:rsidRPr="00215469" w:rsidRDefault="003D503C" w:rsidP="00215469">
      <w:pPr>
        <w:spacing w:line="240" w:lineRule="auto"/>
        <w:rPr>
          <w:i/>
        </w:rPr>
      </w:pPr>
      <w:r w:rsidRPr="00F3179E">
        <w:rPr>
          <w:i/>
        </w:rPr>
        <w:t>Privacy/ Data Protection Impact Assessments</w:t>
      </w:r>
    </w:p>
    <w:p w14:paraId="48DBFBC0" w14:textId="77777777" w:rsidR="003D503C" w:rsidRDefault="003D503C" w:rsidP="00E561F7">
      <w:pPr>
        <w:pStyle w:val="ListParagraph"/>
        <w:numPr>
          <w:ilvl w:val="0"/>
          <w:numId w:val="22"/>
        </w:numPr>
        <w:spacing w:line="240" w:lineRule="auto"/>
      </w:pPr>
      <w:r>
        <w:t>All activities which obtain personal data must be reviewed to assess whether an Impact Assessment is required to fully consider the legality of the processing of personal data under Data Protection law</w:t>
      </w:r>
    </w:p>
    <w:p w14:paraId="3A55C90C" w14:textId="785E5129" w:rsidR="003D503C" w:rsidRDefault="003D503C" w:rsidP="00E561F7">
      <w:pPr>
        <w:pStyle w:val="ListParagraph"/>
        <w:numPr>
          <w:ilvl w:val="0"/>
          <w:numId w:val="22"/>
        </w:numPr>
        <w:spacing w:line="240" w:lineRule="auto"/>
      </w:pPr>
      <w:r>
        <w:t>The Privacy Impact Assessment require an Owner to confirm that an accurate Privacy Notice is in place and that the Principle under Article 5(c) is being met. This means the organisation is satisfied that the activity:</w:t>
      </w:r>
    </w:p>
    <w:p w14:paraId="080E921A" w14:textId="04303413" w:rsidR="003D503C" w:rsidRDefault="003D503C" w:rsidP="00E561F7">
      <w:pPr>
        <w:pStyle w:val="ListParagraph"/>
        <w:numPr>
          <w:ilvl w:val="1"/>
          <w:numId w:val="22"/>
        </w:numPr>
        <w:spacing w:line="240" w:lineRule="auto"/>
      </w:pPr>
      <w:r>
        <w:t xml:space="preserve">Clearly explains what the purpose of obtaining the data is </w:t>
      </w:r>
    </w:p>
    <w:p w14:paraId="3207A086" w14:textId="77777777" w:rsidR="003D503C" w:rsidRDefault="003D503C" w:rsidP="00E561F7">
      <w:pPr>
        <w:pStyle w:val="ListParagraph"/>
        <w:numPr>
          <w:ilvl w:val="1"/>
          <w:numId w:val="22"/>
        </w:numPr>
        <w:spacing w:line="240" w:lineRule="auto"/>
      </w:pPr>
      <w:r>
        <w:t>We obtain only the data that is necessary to fulfil that purpose</w:t>
      </w:r>
    </w:p>
    <w:p w14:paraId="69A60D8B" w14:textId="77777777" w:rsidR="003D503C" w:rsidRDefault="003D503C" w:rsidP="00E561F7">
      <w:pPr>
        <w:pStyle w:val="ListParagraph"/>
        <w:numPr>
          <w:ilvl w:val="0"/>
          <w:numId w:val="22"/>
        </w:numPr>
        <w:spacing w:line="240" w:lineRule="auto"/>
      </w:pPr>
      <w:r>
        <w:t>The approved Assessment(s) for new activities and reviews of existing and future activities will provide evidence to the regulator that the organisation has a comprehensive procedure for ensuring that only minimal personal data is being processed.</w:t>
      </w:r>
    </w:p>
    <w:p w14:paraId="2A825990" w14:textId="7D37D9DA" w:rsidR="003673DA" w:rsidRDefault="003673DA" w:rsidP="00711F7D">
      <w:pPr>
        <w:pStyle w:val="Heading2"/>
        <w:spacing w:line="240" w:lineRule="auto"/>
      </w:pPr>
      <w:bookmarkStart w:id="6" w:name="_Toc67579833"/>
      <w:r w:rsidRPr="003673DA">
        <w:t>Removing Personal Data (Anonymising &amp; Pseudonymising)</w:t>
      </w:r>
      <w:bookmarkEnd w:id="6"/>
    </w:p>
    <w:p w14:paraId="62AD7F1F" w14:textId="77777777" w:rsidR="00711F7D" w:rsidRPr="00711F7D" w:rsidRDefault="00711F7D" w:rsidP="00711F7D">
      <w:pPr>
        <w:spacing w:after="0"/>
      </w:pPr>
    </w:p>
    <w:p w14:paraId="14F5AC5A" w14:textId="119FCA18" w:rsidR="00057687" w:rsidRPr="00DD527C" w:rsidRDefault="00057687" w:rsidP="00FA6001">
      <w:pPr>
        <w:spacing w:after="0" w:line="240" w:lineRule="auto"/>
        <w:rPr>
          <w:b/>
        </w:rPr>
      </w:pPr>
      <w:r w:rsidRPr="00F3179E">
        <w:rPr>
          <w:b/>
        </w:rPr>
        <w:t>Legal Requirement</w:t>
      </w:r>
    </w:p>
    <w:p w14:paraId="02BEA152" w14:textId="2593F1E6" w:rsidR="00057687" w:rsidRPr="00057687" w:rsidRDefault="00057687" w:rsidP="00DD527C">
      <w:pPr>
        <w:spacing w:line="240" w:lineRule="auto"/>
      </w:pPr>
      <w:r>
        <w:t xml:space="preserve">The use of anonymisation and pseudonymisation can further support the requirement under Article 5(c) by allowing the processing of data having removed the personally identifiable elements yet retaining associated data to undertake useful research/ analysis. </w:t>
      </w:r>
    </w:p>
    <w:p w14:paraId="663F72B2" w14:textId="77777777" w:rsidR="003673DA" w:rsidRPr="00F3179E" w:rsidRDefault="003673DA" w:rsidP="00FA6001">
      <w:pPr>
        <w:spacing w:after="0" w:line="240" w:lineRule="auto"/>
        <w:rPr>
          <w:b/>
        </w:rPr>
      </w:pPr>
      <w:r w:rsidRPr="00F3179E">
        <w:rPr>
          <w:b/>
        </w:rPr>
        <w:t>Terms:</w:t>
      </w:r>
    </w:p>
    <w:p w14:paraId="2B200171" w14:textId="77777777" w:rsidR="003673DA" w:rsidRDefault="003673DA" w:rsidP="00E561F7">
      <w:pPr>
        <w:spacing w:line="240" w:lineRule="auto"/>
      </w:pPr>
      <w:r>
        <w:rPr>
          <w:b/>
        </w:rPr>
        <w:t xml:space="preserve">Anonymisation: </w:t>
      </w:r>
      <w:r w:rsidRPr="003673DA">
        <w:t xml:space="preserve">is the removal of information that could lead to an individual being identified, either </w:t>
      </w:r>
      <w:r w:rsidR="00B06ED4">
        <w:t>on the basis of</w:t>
      </w:r>
    </w:p>
    <w:p w14:paraId="05E41050" w14:textId="77777777" w:rsidR="00B06ED4" w:rsidRDefault="003673DA" w:rsidP="00E561F7">
      <w:pPr>
        <w:pStyle w:val="NoSpacing"/>
        <w:numPr>
          <w:ilvl w:val="0"/>
          <w:numId w:val="20"/>
        </w:numPr>
        <w:ind w:left="1418" w:firstLine="0"/>
      </w:pPr>
      <w:r w:rsidRPr="003673DA">
        <w:t xml:space="preserve">the removed information or </w:t>
      </w:r>
    </w:p>
    <w:p w14:paraId="195292C0" w14:textId="77777777" w:rsidR="003673DA" w:rsidRDefault="003673DA" w:rsidP="00E561F7">
      <w:pPr>
        <w:pStyle w:val="NoSpacing"/>
        <w:numPr>
          <w:ilvl w:val="0"/>
          <w:numId w:val="20"/>
        </w:numPr>
        <w:ind w:left="1418" w:firstLine="0"/>
      </w:pPr>
      <w:r w:rsidRPr="003673DA">
        <w:t>th</w:t>
      </w:r>
      <w:r>
        <w:t>e removed information</w:t>
      </w:r>
      <w:r w:rsidRPr="003673DA">
        <w:t xml:space="preserve"> combined with other information held.</w:t>
      </w:r>
    </w:p>
    <w:p w14:paraId="0FD48062" w14:textId="77777777" w:rsidR="00B06ED4" w:rsidRPr="003673DA" w:rsidRDefault="00B06ED4" w:rsidP="00E561F7">
      <w:pPr>
        <w:pStyle w:val="NoSpacing"/>
        <w:ind w:left="1418"/>
      </w:pPr>
    </w:p>
    <w:p w14:paraId="664DDEA8" w14:textId="77777777" w:rsidR="003673DA" w:rsidRDefault="003673DA" w:rsidP="00E561F7">
      <w:pPr>
        <w:spacing w:line="240" w:lineRule="auto"/>
      </w:pPr>
      <w:r>
        <w:rPr>
          <w:b/>
        </w:rPr>
        <w:t xml:space="preserve">Pseudonymisation: </w:t>
      </w:r>
      <w:r w:rsidRPr="003673DA">
        <w:t xml:space="preserve">is a procedure by which the fields </w:t>
      </w:r>
      <w:r>
        <w:t xml:space="preserve">most likely to identify an individual </w:t>
      </w:r>
      <w:r w:rsidRPr="003673DA">
        <w:t>within a data record are replaced by one or more artificial identifiers, or pseudonyms. There can be a single pseudonym for a collection of replaced fields or a pseudonym per replaced field.  The use of p</w:t>
      </w:r>
      <w:r>
        <w:t>seudonyms allows us to hold</w:t>
      </w:r>
      <w:r w:rsidRPr="003673DA">
        <w:t xml:space="preserve"> the original dataset to re-identify the data at a later date if it is necessary.</w:t>
      </w:r>
    </w:p>
    <w:p w14:paraId="5463AF91" w14:textId="77777777" w:rsidR="003673DA" w:rsidRPr="003673DA" w:rsidRDefault="003673DA" w:rsidP="00E561F7">
      <w:pPr>
        <w:spacing w:line="240" w:lineRule="auto"/>
        <w:ind w:left="720"/>
        <w:rPr>
          <w:b/>
        </w:rPr>
      </w:pPr>
    </w:p>
    <w:p w14:paraId="0F533408" w14:textId="77777777" w:rsidR="00FE0FFF" w:rsidRPr="00F3179E" w:rsidRDefault="003673DA" w:rsidP="00FA6001">
      <w:pPr>
        <w:spacing w:after="0" w:line="240" w:lineRule="auto"/>
        <w:rPr>
          <w:b/>
        </w:rPr>
      </w:pPr>
      <w:r w:rsidRPr="00F3179E">
        <w:rPr>
          <w:b/>
        </w:rPr>
        <w:lastRenderedPageBreak/>
        <w:t xml:space="preserve">Is Anonymised/ Pseudonymised </w:t>
      </w:r>
      <w:r w:rsidR="00FE0FFF" w:rsidRPr="00F3179E">
        <w:rPr>
          <w:b/>
        </w:rPr>
        <w:t xml:space="preserve">data </w:t>
      </w:r>
      <w:r w:rsidRPr="00F3179E">
        <w:rPr>
          <w:b/>
        </w:rPr>
        <w:t>P</w:t>
      </w:r>
      <w:r w:rsidR="00FE0FFF" w:rsidRPr="00F3179E">
        <w:rPr>
          <w:b/>
        </w:rPr>
        <w:t xml:space="preserve">ersonal </w:t>
      </w:r>
      <w:r w:rsidRPr="00F3179E">
        <w:rPr>
          <w:b/>
        </w:rPr>
        <w:t>D</w:t>
      </w:r>
      <w:r w:rsidR="00FE0FFF" w:rsidRPr="00F3179E">
        <w:rPr>
          <w:b/>
        </w:rPr>
        <w:t>ata?</w:t>
      </w:r>
    </w:p>
    <w:p w14:paraId="05FFCF08" w14:textId="77777777" w:rsidR="00FE0FFF" w:rsidRDefault="00FE0FFF" w:rsidP="00E561F7">
      <w:pPr>
        <w:autoSpaceDE w:val="0"/>
        <w:autoSpaceDN w:val="0"/>
        <w:adjustRightInd w:val="0"/>
        <w:spacing w:after="0" w:line="240" w:lineRule="auto"/>
      </w:pPr>
      <w:r w:rsidRPr="00753BA2">
        <w:t xml:space="preserve">There is </w:t>
      </w:r>
      <w:r>
        <w:t xml:space="preserve">a </w:t>
      </w:r>
      <w:r w:rsidRPr="00753BA2">
        <w:t>clear view that where an organisation</w:t>
      </w:r>
      <w:r>
        <w:t xml:space="preserve"> </w:t>
      </w:r>
      <w:r w:rsidRPr="00753BA2">
        <w:t>converts personal data into an anonymised form and discloses it, this</w:t>
      </w:r>
      <w:r>
        <w:t xml:space="preserve"> </w:t>
      </w:r>
      <w:r w:rsidRPr="00753BA2">
        <w:t xml:space="preserve">will not </w:t>
      </w:r>
      <w:r>
        <w:t>be considered</w:t>
      </w:r>
      <w:r w:rsidRPr="00753BA2">
        <w:t xml:space="preserve"> a disclosure of personal data. This means that </w:t>
      </w:r>
      <w:r>
        <w:t xml:space="preserve">Data Protection Act </w:t>
      </w:r>
      <w:r w:rsidR="00B06ED4">
        <w:t>law</w:t>
      </w:r>
      <w:r>
        <w:t xml:space="preserve"> </w:t>
      </w:r>
      <w:r w:rsidRPr="00753BA2">
        <w:t>no longer applies to the disclosed data, therefore:</w:t>
      </w:r>
    </w:p>
    <w:p w14:paraId="41B61B41" w14:textId="77777777" w:rsidR="00FE0FFF" w:rsidRPr="00753BA2" w:rsidRDefault="00FE0FFF" w:rsidP="00E561F7">
      <w:pPr>
        <w:autoSpaceDE w:val="0"/>
        <w:autoSpaceDN w:val="0"/>
        <w:adjustRightInd w:val="0"/>
        <w:spacing w:after="0" w:line="240" w:lineRule="auto"/>
        <w:ind w:left="1418"/>
      </w:pPr>
    </w:p>
    <w:p w14:paraId="0240730B" w14:textId="77777777" w:rsidR="00B06ED4" w:rsidRDefault="00FE0FFF" w:rsidP="00E561F7">
      <w:pPr>
        <w:pStyle w:val="ListParagraph"/>
        <w:numPr>
          <w:ilvl w:val="0"/>
          <w:numId w:val="19"/>
        </w:numPr>
        <w:autoSpaceDE w:val="0"/>
        <w:autoSpaceDN w:val="0"/>
        <w:adjustRightInd w:val="0"/>
        <w:spacing w:after="0" w:line="240" w:lineRule="auto"/>
        <w:ind w:left="2127" w:hanging="709"/>
      </w:pPr>
      <w:r w:rsidRPr="00753BA2">
        <w:t>there is an obvious incentive for organisations that want to publish</w:t>
      </w:r>
      <w:r>
        <w:t xml:space="preserve"> </w:t>
      </w:r>
      <w:r w:rsidRPr="00753BA2">
        <w:t>data to do so in an anonymised form;</w:t>
      </w:r>
    </w:p>
    <w:p w14:paraId="7D8A2C15" w14:textId="77777777" w:rsidR="00B06ED4" w:rsidRDefault="00FE0FFF" w:rsidP="00E561F7">
      <w:pPr>
        <w:pStyle w:val="ListParagraph"/>
        <w:numPr>
          <w:ilvl w:val="0"/>
          <w:numId w:val="19"/>
        </w:numPr>
        <w:autoSpaceDE w:val="0"/>
        <w:autoSpaceDN w:val="0"/>
        <w:adjustRightInd w:val="0"/>
        <w:spacing w:after="0" w:line="240" w:lineRule="auto"/>
        <w:ind w:left="2127" w:hanging="709"/>
      </w:pPr>
      <w:r w:rsidRPr="00753BA2">
        <w:t>it provides an incentive for researchers and others to use</w:t>
      </w:r>
      <w:r>
        <w:t xml:space="preserve"> </w:t>
      </w:r>
      <w:r w:rsidRPr="00753BA2">
        <w:t>anonymised data as an alternative to personal data wherever this</w:t>
      </w:r>
      <w:r>
        <w:t xml:space="preserve"> </w:t>
      </w:r>
      <w:r w:rsidRPr="00753BA2">
        <w:t>is possible; and</w:t>
      </w:r>
    </w:p>
    <w:p w14:paraId="38CA1F96" w14:textId="77777777" w:rsidR="00FE0FFF" w:rsidRDefault="00FE0FFF" w:rsidP="00E561F7">
      <w:pPr>
        <w:pStyle w:val="ListParagraph"/>
        <w:numPr>
          <w:ilvl w:val="0"/>
          <w:numId w:val="19"/>
        </w:numPr>
        <w:autoSpaceDE w:val="0"/>
        <w:autoSpaceDN w:val="0"/>
        <w:adjustRightInd w:val="0"/>
        <w:spacing w:after="0" w:line="240" w:lineRule="auto"/>
        <w:ind w:left="2127" w:hanging="709"/>
      </w:pPr>
      <w:r w:rsidRPr="00753BA2">
        <w:t>individuals’ identities are protected</w:t>
      </w:r>
    </w:p>
    <w:p w14:paraId="3D2A94EF" w14:textId="77777777" w:rsidR="00FE0FFF" w:rsidRDefault="00FE0FFF" w:rsidP="000613E2">
      <w:pPr>
        <w:pStyle w:val="ListParagraph"/>
        <w:spacing w:after="0" w:line="240" w:lineRule="auto"/>
        <w:ind w:left="1080"/>
      </w:pPr>
    </w:p>
    <w:p w14:paraId="169CE31D" w14:textId="08C4E259" w:rsidR="00FE0FFF" w:rsidRDefault="00FE0FFF" w:rsidP="000613E2">
      <w:pPr>
        <w:spacing w:line="240" w:lineRule="auto"/>
      </w:pPr>
      <w:r>
        <w:t xml:space="preserve">It is important to note however, that the originating organisation must comply with </w:t>
      </w:r>
      <w:r w:rsidR="00B06ED4">
        <w:t>Data Protection law</w:t>
      </w:r>
      <w:r>
        <w:t xml:space="preserve"> as they are in possession of the original personal identifiable dataset; and therefore are able to re-identify the data.  This means that the originating organisation is processing personal data, even if that data has been anonymised.  If the recipients do not have access to the original data, or some other linkable data, they a</w:t>
      </w:r>
      <w:r w:rsidR="00B06ED4">
        <w:t>re not processing personal data and the originating organisation has not disclosed it.</w:t>
      </w:r>
    </w:p>
    <w:p w14:paraId="6C022248" w14:textId="1C69DDAE" w:rsidR="00FE0FFF" w:rsidRPr="00FA6001" w:rsidRDefault="00FE0FFF" w:rsidP="00FA6001">
      <w:pPr>
        <w:spacing w:after="0" w:line="240" w:lineRule="auto"/>
        <w:rPr>
          <w:b/>
        </w:rPr>
      </w:pPr>
      <w:bookmarkStart w:id="7" w:name="HSCIC"/>
      <w:r w:rsidRPr="00F3179E">
        <w:rPr>
          <w:b/>
        </w:rPr>
        <w:t xml:space="preserve">How do I </w:t>
      </w:r>
      <w:r w:rsidR="00B06ED4" w:rsidRPr="00F3179E">
        <w:rPr>
          <w:b/>
        </w:rPr>
        <w:t>P</w:t>
      </w:r>
      <w:r w:rsidRPr="00F3179E">
        <w:rPr>
          <w:b/>
        </w:rPr>
        <w:t>seudonymised/</w:t>
      </w:r>
      <w:r w:rsidR="00B06ED4" w:rsidRPr="00F3179E">
        <w:rPr>
          <w:b/>
        </w:rPr>
        <w:t xml:space="preserve"> A</w:t>
      </w:r>
      <w:r w:rsidRPr="00F3179E">
        <w:rPr>
          <w:b/>
        </w:rPr>
        <w:t xml:space="preserve">nonymise </w:t>
      </w:r>
      <w:r w:rsidR="00B06ED4" w:rsidRPr="00F3179E">
        <w:rPr>
          <w:b/>
        </w:rPr>
        <w:t>Personal D</w:t>
      </w:r>
      <w:r w:rsidRPr="00F3179E">
        <w:rPr>
          <w:b/>
        </w:rPr>
        <w:t>ata safely?</w:t>
      </w:r>
      <w:bookmarkEnd w:id="7"/>
    </w:p>
    <w:p w14:paraId="68B1F494" w14:textId="3D96D4C4" w:rsidR="00FE0FFF" w:rsidRPr="002841E3" w:rsidRDefault="00B06ED4" w:rsidP="00FA6001">
      <w:pPr>
        <w:spacing w:line="240" w:lineRule="auto"/>
      </w:pPr>
      <w:r>
        <w:t>We</w:t>
      </w:r>
      <w:r w:rsidR="00FE0FFF">
        <w:t xml:space="preserve"> will comply with the </w:t>
      </w:r>
      <w:hyperlink r:id="rId12" w:history="1">
        <w:r w:rsidR="00FE0FFF" w:rsidRPr="004E7004">
          <w:rPr>
            <w:rStyle w:val="Hyperlink"/>
          </w:rPr>
          <w:t>Health &amp; Social Care Anonymisation Standard</w:t>
        </w:r>
      </w:hyperlink>
      <w:r w:rsidR="00FE0FFF">
        <w:t xml:space="preserve"> and its associated </w:t>
      </w:r>
      <w:hyperlink r:id="rId13" w:history="1">
        <w:r w:rsidR="00FE0FFF" w:rsidRPr="004E7004">
          <w:rPr>
            <w:rStyle w:val="Hyperlink"/>
          </w:rPr>
          <w:t>guidance</w:t>
        </w:r>
      </w:hyperlink>
      <w:r w:rsidR="00FE0FFF">
        <w:t xml:space="preserve"> to ensure that the privacy of individuals is upheld.</w:t>
      </w:r>
    </w:p>
    <w:p w14:paraId="4E4AC25F" w14:textId="69E9C2B6" w:rsidR="00B06ED4" w:rsidRPr="00FA6001" w:rsidRDefault="00B06ED4" w:rsidP="00FA6001">
      <w:pPr>
        <w:spacing w:after="0" w:line="240" w:lineRule="auto"/>
        <w:rPr>
          <w:b/>
        </w:rPr>
      </w:pPr>
      <w:r w:rsidRPr="00F3179E">
        <w:rPr>
          <w:b/>
        </w:rPr>
        <w:t>Is Consent required</w:t>
      </w:r>
      <w:r w:rsidR="00FE0FFF" w:rsidRPr="00F3179E">
        <w:rPr>
          <w:b/>
        </w:rPr>
        <w:t>?</w:t>
      </w:r>
    </w:p>
    <w:p w14:paraId="250F9A3E" w14:textId="79CB07AA" w:rsidR="00FE0FFF" w:rsidRDefault="00B06ED4" w:rsidP="00E561F7">
      <w:pPr>
        <w:autoSpaceDE w:val="0"/>
        <w:autoSpaceDN w:val="0"/>
        <w:adjustRightInd w:val="0"/>
        <w:spacing w:after="0" w:line="240" w:lineRule="auto"/>
      </w:pPr>
      <w:r>
        <w:t>No. Data Protection law</w:t>
      </w:r>
      <w:r w:rsidR="00FE0FFF" w:rsidRPr="00753BA2">
        <w:t xml:space="preserve"> provides various ‘conditions’</w:t>
      </w:r>
      <w:r w:rsidR="00FE0FFF">
        <w:t xml:space="preserve"> </w:t>
      </w:r>
      <w:r w:rsidR="00FE0FFF" w:rsidRPr="00753BA2">
        <w:t>for legitimising the processing of personal data, including its</w:t>
      </w:r>
      <w:r w:rsidR="00FE0FFF">
        <w:t xml:space="preserve"> </w:t>
      </w:r>
      <w:r>
        <w:t>anonymisation/ pseudonymisation</w:t>
      </w:r>
      <w:r w:rsidR="00FE0FFF" w:rsidRPr="00753BA2">
        <w:t xml:space="preserve">. Consent is just one condition, and the </w:t>
      </w:r>
      <w:r>
        <w:t>law</w:t>
      </w:r>
      <w:r w:rsidR="00FE0FFF">
        <w:t xml:space="preserve"> </w:t>
      </w:r>
      <w:r w:rsidR="00FE0FFF" w:rsidRPr="00753BA2">
        <w:t xml:space="preserve">usually provides alternatives. </w:t>
      </w:r>
      <w:r w:rsidR="00FE0FFF">
        <w:t xml:space="preserve">Where data has been effectively </w:t>
      </w:r>
      <w:r w:rsidRPr="00B06ED4">
        <w:t>anonymis</w:t>
      </w:r>
      <w:r>
        <w:t>ed</w:t>
      </w:r>
      <w:r w:rsidRPr="00B06ED4">
        <w:t>/ pseudonymis</w:t>
      </w:r>
      <w:r>
        <w:t>ed</w:t>
      </w:r>
      <w:r w:rsidR="00FE0FFF">
        <w:t xml:space="preserve"> it does not constitute personal data and therefore a condition for processing is not required. </w:t>
      </w:r>
    </w:p>
    <w:p w14:paraId="629D0D4B" w14:textId="77777777" w:rsidR="00FE0FFF" w:rsidRDefault="00FE0FFF" w:rsidP="00E561F7">
      <w:pPr>
        <w:pStyle w:val="ListParagraph"/>
        <w:autoSpaceDE w:val="0"/>
        <w:autoSpaceDN w:val="0"/>
        <w:adjustRightInd w:val="0"/>
        <w:spacing w:after="0" w:line="240" w:lineRule="auto"/>
        <w:ind w:left="1418"/>
      </w:pPr>
    </w:p>
    <w:p w14:paraId="3E13EF1B" w14:textId="77777777" w:rsidR="00FE0FFF" w:rsidRDefault="00FE0FFF" w:rsidP="00E561F7">
      <w:pPr>
        <w:autoSpaceDE w:val="0"/>
        <w:autoSpaceDN w:val="0"/>
        <w:adjustRightInd w:val="0"/>
        <w:spacing w:after="0" w:line="240" w:lineRule="auto"/>
      </w:pPr>
      <w:r w:rsidRPr="00753BA2">
        <w:t>The DPA only gives the individual a</w:t>
      </w:r>
      <w:r>
        <w:t xml:space="preserve"> </w:t>
      </w:r>
      <w:r w:rsidRPr="00753BA2">
        <w:t>right to prevent the processing of their personal data where this</w:t>
      </w:r>
      <w:r>
        <w:t xml:space="preserve"> </w:t>
      </w:r>
      <w:r w:rsidRPr="00753BA2">
        <w:t>would be likely to cause unwarranted damage or distress. In the</w:t>
      </w:r>
      <w:r>
        <w:t xml:space="preserve"> </w:t>
      </w:r>
      <w:r w:rsidR="00B06ED4">
        <w:t>Information Commissioner’s Office</w:t>
      </w:r>
      <w:r w:rsidRPr="00753BA2">
        <w:t xml:space="preserve">’s view, provided there is no likelihood of </w:t>
      </w:r>
      <w:r w:rsidR="00B06ED4" w:rsidRPr="00B06ED4">
        <w:t>anonymisation/ pseudonymisation</w:t>
      </w:r>
      <w:r w:rsidRPr="00753BA2">
        <w:t xml:space="preserve"> causing</w:t>
      </w:r>
      <w:r>
        <w:t xml:space="preserve"> </w:t>
      </w:r>
      <w:r w:rsidRPr="00753BA2">
        <w:t>unwarranted damage or distress</w:t>
      </w:r>
      <w:r>
        <w:t>,</w:t>
      </w:r>
      <w:r w:rsidRPr="00753BA2">
        <w:t xml:space="preserve"> as will be the case if it is done</w:t>
      </w:r>
      <w:r>
        <w:t xml:space="preserve"> </w:t>
      </w:r>
      <w:r w:rsidRPr="00753BA2">
        <w:t>effectively</w:t>
      </w:r>
      <w:r>
        <w:t xml:space="preserve">, </w:t>
      </w:r>
      <w:r w:rsidRPr="00753BA2">
        <w:t>then there will be no need to obtain consent as a</w:t>
      </w:r>
      <w:r>
        <w:t xml:space="preserve"> </w:t>
      </w:r>
      <w:r w:rsidRPr="00753BA2">
        <w:t>means of legitimising the processing.</w:t>
      </w:r>
    </w:p>
    <w:p w14:paraId="1DC8B820" w14:textId="77777777" w:rsidR="00FE0FFF" w:rsidRDefault="00FE0FFF" w:rsidP="00AA08DD">
      <w:pPr>
        <w:spacing w:after="0" w:line="240" w:lineRule="auto"/>
        <w:ind w:left="504"/>
      </w:pPr>
    </w:p>
    <w:p w14:paraId="384C6AE2" w14:textId="77777777" w:rsidR="00FE0FFF" w:rsidRPr="00F3179E" w:rsidRDefault="00E94627" w:rsidP="00FA6001">
      <w:pPr>
        <w:spacing w:after="0" w:line="240" w:lineRule="auto"/>
        <w:rPr>
          <w:b/>
        </w:rPr>
      </w:pPr>
      <w:r w:rsidRPr="00F3179E">
        <w:rPr>
          <w:b/>
        </w:rPr>
        <w:t>Informing the Data Subjects</w:t>
      </w:r>
    </w:p>
    <w:p w14:paraId="66AD2FF9" w14:textId="35A191EF" w:rsidR="00FE0FFF" w:rsidRPr="00B06ED4" w:rsidRDefault="00FE0FFF" w:rsidP="00E561F7">
      <w:pPr>
        <w:spacing w:line="240" w:lineRule="auto"/>
        <w:rPr>
          <w:lang w:val="en-US"/>
        </w:rPr>
      </w:pPr>
      <w:r w:rsidRPr="00B06ED4">
        <w:rPr>
          <w:lang w:val="en-US"/>
        </w:rPr>
        <w:t xml:space="preserve">When using personal data for research purposes, the data </w:t>
      </w:r>
      <w:r w:rsidR="00B06ED4" w:rsidRPr="00B06ED4">
        <w:rPr>
          <w:lang w:val="en-US"/>
        </w:rPr>
        <w:t>can</w:t>
      </w:r>
      <w:r w:rsidRPr="00B06ED4">
        <w:rPr>
          <w:lang w:val="en-US"/>
        </w:rPr>
        <w:t xml:space="preserve"> be anonymised to avoid the identification of an individual, </w:t>
      </w:r>
      <w:r w:rsidR="00B06ED4" w:rsidRPr="00B06ED4">
        <w:rPr>
          <w:lang w:val="en-US"/>
        </w:rPr>
        <w:t xml:space="preserve">or if </w:t>
      </w:r>
      <w:r w:rsidR="00B06ED4">
        <w:rPr>
          <w:lang w:val="en-US"/>
        </w:rPr>
        <w:t xml:space="preserve">consent has been </w:t>
      </w:r>
      <w:r w:rsidR="0031348C">
        <w:rPr>
          <w:lang w:val="en-US"/>
        </w:rPr>
        <w:t>given</w:t>
      </w:r>
      <w:r w:rsidRPr="00B06ED4">
        <w:rPr>
          <w:lang w:val="en-US"/>
        </w:rPr>
        <w:t xml:space="preserve"> </w:t>
      </w:r>
      <w:r w:rsidR="00B06ED4" w:rsidRPr="00B06ED4">
        <w:rPr>
          <w:lang w:val="en-US"/>
        </w:rPr>
        <w:t>then the data can remain identifiable.</w:t>
      </w:r>
    </w:p>
    <w:p w14:paraId="7CD7F4A3" w14:textId="01DD116E" w:rsidR="00FE0FFF" w:rsidRPr="00602FEF" w:rsidRDefault="00B06ED4" w:rsidP="00FA6001">
      <w:pPr>
        <w:spacing w:line="240" w:lineRule="auto"/>
      </w:pPr>
      <w:r>
        <w:t>We</w:t>
      </w:r>
      <w:r w:rsidR="00FE0FFF" w:rsidRPr="00602FEF">
        <w:t xml:space="preserve"> will need to check </w:t>
      </w:r>
      <w:r>
        <w:t>the relevant</w:t>
      </w:r>
      <w:r w:rsidR="00FE0FFF" w:rsidRPr="00602FEF">
        <w:t xml:space="preserve"> </w:t>
      </w:r>
      <w:r w:rsidR="00FE0FFF">
        <w:t>privacy notice</w:t>
      </w:r>
      <w:r>
        <w:t xml:space="preserve"> which explains how the data would be processed</w:t>
      </w:r>
      <w:r w:rsidR="00FE0FFF">
        <w:t xml:space="preserve"> to ensure that </w:t>
      </w:r>
      <w:r>
        <w:t>it correctly</w:t>
      </w:r>
      <w:r w:rsidR="00FE0FFF">
        <w:t xml:space="preserve"> advised individuals appropriately</w:t>
      </w:r>
      <w:r w:rsidR="00E94627">
        <w:t xml:space="preserve"> that their personal data may be used for research</w:t>
      </w:r>
      <w:r w:rsidR="00FE0FFF">
        <w:t xml:space="preserve">.  For example, </w:t>
      </w:r>
      <w:r w:rsidR="00E94627">
        <w:t>if a</w:t>
      </w:r>
      <w:r w:rsidR="00FE0FFF">
        <w:t xml:space="preserve"> </w:t>
      </w:r>
      <w:r w:rsidR="00E94627">
        <w:t>privacy notice</w:t>
      </w:r>
      <w:r w:rsidR="00FE0FFF">
        <w:t xml:space="preserve"> advise</w:t>
      </w:r>
      <w:r w:rsidR="00E94627">
        <w:t>s</w:t>
      </w:r>
      <w:r w:rsidR="00FE0FFF">
        <w:t xml:space="preserve"> that we use data for </w:t>
      </w:r>
      <w:r w:rsidR="00E94627">
        <w:t>‘</w:t>
      </w:r>
      <w:r w:rsidR="00FE0FFF">
        <w:t>service improvement</w:t>
      </w:r>
      <w:r w:rsidR="00E94627">
        <w:t>’ as a specified purpose</w:t>
      </w:r>
      <w:r w:rsidR="00FE0FFF">
        <w:t xml:space="preserve"> you will be able to use </w:t>
      </w:r>
      <w:r w:rsidR="00E94627">
        <w:t>personal</w:t>
      </w:r>
      <w:r w:rsidR="00FE0FFF">
        <w:t xml:space="preserve"> data for this purpose.  Similarly, if you intend to anonymise data for research, you should state in your privacy notice that anonymised data will be used for research purposes.</w:t>
      </w:r>
    </w:p>
    <w:p w14:paraId="0320AF74" w14:textId="570B9EAF" w:rsidR="00FE0FFF" w:rsidRPr="00FA6001" w:rsidRDefault="00E94627" w:rsidP="00FA6001">
      <w:pPr>
        <w:spacing w:after="0" w:line="240" w:lineRule="auto"/>
        <w:rPr>
          <w:b/>
        </w:rPr>
      </w:pPr>
      <w:r w:rsidRPr="00F3179E">
        <w:rPr>
          <w:b/>
        </w:rPr>
        <w:lastRenderedPageBreak/>
        <w:t>Retention</w:t>
      </w:r>
    </w:p>
    <w:p w14:paraId="50AEDD9C" w14:textId="2B4C5E04" w:rsidR="00FE0FFF" w:rsidRPr="00FA6001" w:rsidRDefault="00E94627" w:rsidP="00FA6001">
      <w:pPr>
        <w:spacing w:line="240" w:lineRule="auto"/>
      </w:pPr>
      <w:r>
        <w:t>As explained above, the data is no longer viewed as Personal Data therefore the principle to retain no longer than necessary in Data Protection law is not engaged.</w:t>
      </w:r>
    </w:p>
    <w:p w14:paraId="5F78798B" w14:textId="77777777" w:rsidR="00FE0FFF" w:rsidRPr="00F3179E" w:rsidRDefault="00E94627" w:rsidP="00FA6001">
      <w:pPr>
        <w:spacing w:after="0" w:line="240" w:lineRule="auto"/>
        <w:rPr>
          <w:b/>
        </w:rPr>
      </w:pPr>
      <w:r w:rsidRPr="00F3179E">
        <w:rPr>
          <w:b/>
        </w:rPr>
        <w:t>Publishing P</w:t>
      </w:r>
      <w:r w:rsidR="00FE0FFF" w:rsidRPr="00F3179E">
        <w:rPr>
          <w:b/>
        </w:rPr>
        <w:t>seudonymised/</w:t>
      </w:r>
      <w:r w:rsidRPr="00F3179E">
        <w:rPr>
          <w:b/>
        </w:rPr>
        <w:t xml:space="preserve"> A</w:t>
      </w:r>
      <w:r w:rsidR="00FE0FFF" w:rsidRPr="00F3179E">
        <w:rPr>
          <w:b/>
        </w:rPr>
        <w:t xml:space="preserve">nonymised </w:t>
      </w:r>
      <w:r w:rsidRPr="00F3179E">
        <w:rPr>
          <w:b/>
        </w:rPr>
        <w:t>D</w:t>
      </w:r>
      <w:r w:rsidR="00FE0FFF" w:rsidRPr="00F3179E">
        <w:rPr>
          <w:b/>
        </w:rPr>
        <w:t>atasets</w:t>
      </w:r>
    </w:p>
    <w:p w14:paraId="2BDBBB77" w14:textId="5ECD8E03" w:rsidR="00FE0FFF" w:rsidRDefault="00FE0FFF" w:rsidP="00E561F7">
      <w:pPr>
        <w:autoSpaceDE w:val="0"/>
        <w:autoSpaceDN w:val="0"/>
        <w:adjustRightInd w:val="0"/>
        <w:spacing w:after="0" w:line="240" w:lineRule="auto"/>
      </w:pPr>
      <w:r w:rsidRPr="00B5791C">
        <w:t>It is important to</w:t>
      </w:r>
      <w:r>
        <w:t xml:space="preserve"> </w:t>
      </w:r>
      <w:r w:rsidRPr="00B5791C">
        <w:t>draw a clear distinction between:</w:t>
      </w:r>
    </w:p>
    <w:p w14:paraId="27B38246" w14:textId="77777777" w:rsidR="00FE0FFF" w:rsidRPr="00B5791C" w:rsidRDefault="00FE0FFF" w:rsidP="00E561F7">
      <w:pPr>
        <w:autoSpaceDE w:val="0"/>
        <w:autoSpaceDN w:val="0"/>
        <w:adjustRightInd w:val="0"/>
        <w:spacing w:after="0" w:line="240" w:lineRule="auto"/>
        <w:ind w:left="720"/>
      </w:pPr>
    </w:p>
    <w:p w14:paraId="2C997A31" w14:textId="77777777" w:rsidR="00FE0FFF" w:rsidRDefault="00E94627" w:rsidP="00E561F7">
      <w:pPr>
        <w:pStyle w:val="ListParagraph"/>
        <w:numPr>
          <w:ilvl w:val="0"/>
          <w:numId w:val="12"/>
        </w:numPr>
        <w:autoSpaceDE w:val="0"/>
        <w:autoSpaceDN w:val="0"/>
        <w:adjustRightInd w:val="0"/>
        <w:spacing w:after="0" w:line="240" w:lineRule="auto"/>
        <w:ind w:left="1080"/>
      </w:pPr>
      <w:r w:rsidRPr="00B5791C">
        <w:t>Publication</w:t>
      </w:r>
      <w:r w:rsidR="00FE0FFF" w:rsidRPr="00B5791C">
        <w:t xml:space="preserve"> to the world at large, e</w:t>
      </w:r>
      <w:r w:rsidR="00FE0FFF">
        <w:t>.</w:t>
      </w:r>
      <w:r w:rsidR="00FE0FFF" w:rsidRPr="00B5791C">
        <w:t>g</w:t>
      </w:r>
      <w:r w:rsidR="00FE0FFF">
        <w:t>.</w:t>
      </w:r>
      <w:r w:rsidR="00FE0FFF" w:rsidRPr="00B5791C">
        <w:t xml:space="preserve"> under the Freedom of</w:t>
      </w:r>
      <w:r w:rsidR="00FE0FFF">
        <w:t xml:space="preserve"> </w:t>
      </w:r>
      <w:r w:rsidR="00FE0FFF" w:rsidRPr="00B5791C">
        <w:t>Information Act 2000</w:t>
      </w:r>
      <w:r>
        <w:t>,</w:t>
      </w:r>
      <w:r w:rsidR="00FE0FFF" w:rsidRPr="00B5791C">
        <w:t xml:space="preserve"> or open data. Here there is</w:t>
      </w:r>
      <w:r w:rsidR="00FE0FFF">
        <w:t xml:space="preserve"> </w:t>
      </w:r>
      <w:r w:rsidR="00FE0FFF" w:rsidRPr="00B5791C">
        <w:t>no restriction on the further disclosure or use of the data and no</w:t>
      </w:r>
      <w:r w:rsidR="00FE0FFF">
        <w:t xml:space="preserve"> </w:t>
      </w:r>
      <w:r w:rsidR="00FE0FFF" w:rsidRPr="00B5791C">
        <w:t>guarantee that it will be kept secure; and</w:t>
      </w:r>
    </w:p>
    <w:p w14:paraId="16F17D93" w14:textId="77777777" w:rsidR="00FE0FFF" w:rsidRPr="00B5791C" w:rsidRDefault="00FE0FFF" w:rsidP="00E561F7">
      <w:pPr>
        <w:pStyle w:val="ListParagraph"/>
        <w:autoSpaceDE w:val="0"/>
        <w:autoSpaceDN w:val="0"/>
        <w:adjustRightInd w:val="0"/>
        <w:spacing w:after="0" w:line="240" w:lineRule="auto"/>
        <w:ind w:left="1728"/>
      </w:pPr>
    </w:p>
    <w:p w14:paraId="496B26BA" w14:textId="77777777" w:rsidR="00FE0FFF" w:rsidRDefault="00E94627" w:rsidP="00E561F7">
      <w:pPr>
        <w:pStyle w:val="ListParagraph"/>
        <w:numPr>
          <w:ilvl w:val="0"/>
          <w:numId w:val="12"/>
        </w:numPr>
        <w:autoSpaceDE w:val="0"/>
        <w:autoSpaceDN w:val="0"/>
        <w:adjustRightInd w:val="0"/>
        <w:spacing w:after="0" w:line="240" w:lineRule="auto"/>
        <w:ind w:left="1080"/>
      </w:pPr>
      <w:r w:rsidRPr="00B5791C">
        <w:t>Limited</w:t>
      </w:r>
      <w:r w:rsidR="00FE0FFF" w:rsidRPr="00B5791C">
        <w:t xml:space="preserve"> access, e</w:t>
      </w:r>
      <w:r w:rsidR="00FE0FFF">
        <w:t>.</w:t>
      </w:r>
      <w:r w:rsidR="00FE0FFF" w:rsidRPr="00B5791C">
        <w:t>g</w:t>
      </w:r>
      <w:r w:rsidR="00FE0FFF">
        <w:t>.</w:t>
      </w:r>
      <w:r w:rsidR="00FE0FFF" w:rsidRPr="00B5791C">
        <w:t xml:space="preserve"> within a closed community of researchers. Here</w:t>
      </w:r>
      <w:r w:rsidR="00FE0FFF">
        <w:t xml:space="preserve"> </w:t>
      </w:r>
      <w:r w:rsidR="00FE0FFF" w:rsidRPr="00B5791C">
        <w:t>it is possible to restrict the further disclosure or use of the data</w:t>
      </w:r>
      <w:r w:rsidR="00FE0FFF">
        <w:t xml:space="preserve"> </w:t>
      </w:r>
      <w:r w:rsidR="00FE0FFF" w:rsidRPr="00B5791C">
        <w:t>and its security can be guaranteed.</w:t>
      </w:r>
      <w:r w:rsidR="00FE0FFF" w:rsidRPr="009156CB">
        <w:t xml:space="preserve"> </w:t>
      </w:r>
      <w:r w:rsidR="00FE0FFF" w:rsidRPr="00B5791C">
        <w:t>The advantage of</w:t>
      </w:r>
      <w:r w:rsidR="00FE0FFF">
        <w:t xml:space="preserve"> </w:t>
      </w:r>
      <w:r w:rsidR="00FE0FFF" w:rsidRPr="00B5791C">
        <w:t>this is that re-identification and other risks are more controllable, and</w:t>
      </w:r>
      <w:r w:rsidR="00FE0FFF">
        <w:t xml:space="preserve"> </w:t>
      </w:r>
      <w:r w:rsidR="00FE0FFF" w:rsidRPr="00B5791C">
        <w:t>potentially more data can be disclosed without having to deal with</w:t>
      </w:r>
      <w:r w:rsidR="00FE0FFF">
        <w:t xml:space="preserve"> </w:t>
      </w:r>
      <w:r w:rsidR="00FE0FFF" w:rsidRPr="00B5791C">
        <w:t>the problems that publication can cause</w:t>
      </w:r>
    </w:p>
    <w:p w14:paraId="2EB97B7F" w14:textId="77777777" w:rsidR="00FE0FFF" w:rsidRPr="00B5791C" w:rsidRDefault="00FE0FFF" w:rsidP="00E561F7">
      <w:pPr>
        <w:pStyle w:val="ListParagraph"/>
        <w:autoSpaceDE w:val="0"/>
        <w:autoSpaceDN w:val="0"/>
        <w:adjustRightInd w:val="0"/>
        <w:spacing w:after="0" w:line="240" w:lineRule="auto"/>
        <w:ind w:left="1080"/>
      </w:pPr>
    </w:p>
    <w:p w14:paraId="1CC38D62" w14:textId="77777777" w:rsidR="00FE0FFF" w:rsidRDefault="00FE0FFF" w:rsidP="00E561F7">
      <w:pPr>
        <w:autoSpaceDE w:val="0"/>
        <w:autoSpaceDN w:val="0"/>
        <w:adjustRightInd w:val="0"/>
        <w:spacing w:after="0" w:line="240" w:lineRule="auto"/>
      </w:pPr>
      <w:r w:rsidRPr="00B5791C">
        <w:t>Limited access is particularly appropriate for the handling of</w:t>
      </w:r>
      <w:r>
        <w:t xml:space="preserve"> </w:t>
      </w:r>
      <w:r w:rsidRPr="00B5791C">
        <w:t>anonymised data derived from sensitive source material or where</w:t>
      </w:r>
      <w:r>
        <w:t xml:space="preserve"> </w:t>
      </w:r>
      <w:r w:rsidRPr="00B5791C">
        <w:t>there is a significant risk of re-identification.</w:t>
      </w:r>
    </w:p>
    <w:p w14:paraId="15139EB4" w14:textId="77777777" w:rsidR="00FE0FFF" w:rsidRDefault="00FE0FFF" w:rsidP="00E561F7">
      <w:pPr>
        <w:autoSpaceDE w:val="0"/>
        <w:autoSpaceDN w:val="0"/>
        <w:adjustRightInd w:val="0"/>
        <w:spacing w:after="0" w:line="240" w:lineRule="auto"/>
        <w:ind w:left="1418"/>
      </w:pPr>
    </w:p>
    <w:p w14:paraId="2CBC186A" w14:textId="77777777" w:rsidR="00FE0FFF" w:rsidRDefault="00FE0FFF" w:rsidP="00E561F7">
      <w:pPr>
        <w:autoSpaceDE w:val="0"/>
        <w:autoSpaceDN w:val="0"/>
        <w:adjustRightInd w:val="0"/>
        <w:spacing w:after="0" w:line="240" w:lineRule="auto"/>
      </w:pPr>
      <w:r w:rsidRPr="00B5791C">
        <w:t>Once data has been published under a licence</w:t>
      </w:r>
      <w:r>
        <w:t xml:space="preserve">, </w:t>
      </w:r>
      <w:r w:rsidRPr="00B5791C">
        <w:t xml:space="preserve">such as the </w:t>
      </w:r>
      <w:hyperlink r:id="rId14" w:history="1">
        <w:r w:rsidRPr="00435E1B">
          <w:rPr>
            <w:rStyle w:val="Hyperlink"/>
          </w:rPr>
          <w:t>Open Government Licence</w:t>
        </w:r>
      </w:hyperlink>
      <w:r>
        <w:t xml:space="preserve">, </w:t>
      </w:r>
      <w:r w:rsidRPr="00B5791C">
        <w:t>it may be impossible to protect it from</w:t>
      </w:r>
      <w:r>
        <w:t xml:space="preserve"> </w:t>
      </w:r>
      <w:r w:rsidRPr="00B5791C">
        <w:t>further use or disclosure or to keep it secure. However, the Open</w:t>
      </w:r>
      <w:r>
        <w:t xml:space="preserve"> </w:t>
      </w:r>
      <w:r w:rsidRPr="00B5791C">
        <w:t>Government Licence does make it clear that while anonymised data</w:t>
      </w:r>
      <w:r>
        <w:t xml:space="preserve"> </w:t>
      </w:r>
      <w:r w:rsidRPr="00B5791C">
        <w:t>falls within the scope of the licence, users and re-users are not</w:t>
      </w:r>
      <w:r>
        <w:t xml:space="preserve"> </w:t>
      </w:r>
      <w:r w:rsidRPr="00B5791C">
        <w:t>permitted to use the data in a way that enables re-identification to</w:t>
      </w:r>
      <w:r>
        <w:t xml:space="preserve"> </w:t>
      </w:r>
      <w:r w:rsidRPr="00B5791C">
        <w:t>take place. However, this may be difficult or impossible to enforce.</w:t>
      </w:r>
    </w:p>
    <w:p w14:paraId="470156C0" w14:textId="77777777" w:rsidR="00FE0FFF" w:rsidRPr="00E1504B" w:rsidRDefault="00FE0FFF" w:rsidP="00E561F7">
      <w:pPr>
        <w:spacing w:line="240" w:lineRule="auto"/>
        <w:rPr>
          <w:b/>
        </w:rPr>
      </w:pPr>
    </w:p>
    <w:p w14:paraId="1969DF17" w14:textId="77777777" w:rsidR="00FE0FFF" w:rsidRPr="00F3179E" w:rsidRDefault="00FE0FFF" w:rsidP="00FA6001">
      <w:pPr>
        <w:spacing w:after="0" w:line="240" w:lineRule="auto"/>
        <w:rPr>
          <w:b/>
        </w:rPr>
      </w:pPr>
      <w:r w:rsidRPr="00F3179E">
        <w:rPr>
          <w:b/>
        </w:rPr>
        <w:t xml:space="preserve">Trusted Third </w:t>
      </w:r>
      <w:r w:rsidR="00E94627" w:rsidRPr="00F3179E">
        <w:rPr>
          <w:b/>
        </w:rPr>
        <w:t>Parties</w:t>
      </w:r>
    </w:p>
    <w:p w14:paraId="56B5493F" w14:textId="77777777" w:rsidR="00FE0FFF" w:rsidRDefault="00FE0FFF" w:rsidP="00E561F7">
      <w:pPr>
        <w:autoSpaceDE w:val="0"/>
        <w:autoSpaceDN w:val="0"/>
        <w:adjustRightInd w:val="0"/>
        <w:spacing w:after="0" w:line="240" w:lineRule="auto"/>
      </w:pPr>
      <w:r w:rsidRPr="004C0437">
        <w:t>A trusted third party (TTP) arrangement can be particularly</w:t>
      </w:r>
      <w:r>
        <w:t xml:space="preserve"> </w:t>
      </w:r>
      <w:r w:rsidRPr="004C0437">
        <w:t>effective where a number of organisations each want to anonymise</w:t>
      </w:r>
      <w:r>
        <w:t xml:space="preserve"> </w:t>
      </w:r>
      <w:r w:rsidRPr="004C0437">
        <w:t>the personal data they hold for use in a collaborative project.</w:t>
      </w:r>
      <w:r>
        <w:t xml:space="preserve">  </w:t>
      </w:r>
      <w:r w:rsidRPr="004C0437">
        <w:t>This model is being used increasingly to facilitate large scale</w:t>
      </w:r>
      <w:r>
        <w:t xml:space="preserve"> </w:t>
      </w:r>
      <w:r w:rsidRPr="004C0437">
        <w:t>research using data collected by a number of organisations.</w:t>
      </w:r>
    </w:p>
    <w:p w14:paraId="03C7CB9C" w14:textId="77777777" w:rsidR="00FE0FFF" w:rsidRPr="004C0437" w:rsidRDefault="00FE0FFF" w:rsidP="00E561F7">
      <w:pPr>
        <w:pStyle w:val="ListParagraph"/>
        <w:autoSpaceDE w:val="0"/>
        <w:autoSpaceDN w:val="0"/>
        <w:adjustRightInd w:val="0"/>
        <w:spacing w:after="0" w:line="240" w:lineRule="auto"/>
        <w:ind w:left="1440"/>
      </w:pPr>
    </w:p>
    <w:p w14:paraId="22DACB5B" w14:textId="77777777" w:rsidR="00FE0FFF" w:rsidRDefault="00FE0FFF" w:rsidP="00E561F7">
      <w:pPr>
        <w:autoSpaceDE w:val="0"/>
        <w:autoSpaceDN w:val="0"/>
        <w:adjustRightInd w:val="0"/>
        <w:spacing w:after="0" w:line="240" w:lineRule="auto"/>
      </w:pPr>
      <w:r w:rsidRPr="004C0437">
        <w:t>Typically, the TTP will operate a data repository to which the</w:t>
      </w:r>
      <w:r>
        <w:t xml:space="preserve"> </w:t>
      </w:r>
      <w:r w:rsidRPr="004C0437">
        <w:t>various participating organisations will disclose their personal data</w:t>
      </w:r>
      <w:r>
        <w:t>, or alternatively pseudonymise their data at source before providing to the TTP</w:t>
      </w:r>
      <w:r w:rsidRPr="004C0437">
        <w:t>.</w:t>
      </w:r>
      <w:r>
        <w:t xml:space="preserve">  Where necessary a</w:t>
      </w:r>
      <w:r w:rsidRPr="004C0437">
        <w:t xml:space="preserve"> </w:t>
      </w:r>
      <w:r>
        <w:t>TTP</w:t>
      </w:r>
      <w:r w:rsidRPr="004C0437">
        <w:t xml:space="preserve"> can be used to convert</w:t>
      </w:r>
      <w:r>
        <w:t xml:space="preserve"> </w:t>
      </w:r>
      <w:r w:rsidRPr="004C0437">
        <w:t>personal data into an anonymised form. This is particularly useful in</w:t>
      </w:r>
      <w:r>
        <w:t xml:space="preserve"> </w:t>
      </w:r>
      <w:r w:rsidRPr="004C0437">
        <w:t>the context of research, as it allows researchers to use anonymised</w:t>
      </w:r>
      <w:r>
        <w:t xml:space="preserve"> </w:t>
      </w:r>
      <w:r w:rsidRPr="004C0437">
        <w:t>data in situations where using raw personal data is not necessary</w:t>
      </w:r>
      <w:r>
        <w:t xml:space="preserve"> </w:t>
      </w:r>
      <w:r w:rsidRPr="004C0437">
        <w:t xml:space="preserve">or appropriate. </w:t>
      </w:r>
      <w:r>
        <w:t>TTPs</w:t>
      </w:r>
      <w:r w:rsidRPr="004C0437">
        <w:t xml:space="preserve"> can be used to link datasets</w:t>
      </w:r>
      <w:r>
        <w:t xml:space="preserve"> </w:t>
      </w:r>
      <w:r w:rsidRPr="004C0437">
        <w:t>from separate organisations, and then create anonymised records</w:t>
      </w:r>
      <w:r>
        <w:t xml:space="preserve"> </w:t>
      </w:r>
      <w:r w:rsidRPr="004C0437">
        <w:t>for researchers.</w:t>
      </w:r>
    </w:p>
    <w:p w14:paraId="3EB837ED" w14:textId="77777777" w:rsidR="00FE0FFF" w:rsidRPr="004C0437" w:rsidRDefault="00FE0FFF" w:rsidP="00E561F7">
      <w:pPr>
        <w:pStyle w:val="ListParagraph"/>
        <w:autoSpaceDE w:val="0"/>
        <w:autoSpaceDN w:val="0"/>
        <w:adjustRightInd w:val="0"/>
        <w:spacing w:after="0" w:line="240" w:lineRule="auto"/>
        <w:ind w:left="1440"/>
      </w:pPr>
    </w:p>
    <w:p w14:paraId="3C465F15" w14:textId="77777777" w:rsidR="00FE0FFF" w:rsidRPr="004C0437" w:rsidRDefault="00FE0FFF" w:rsidP="00E561F7">
      <w:pPr>
        <w:autoSpaceDE w:val="0"/>
        <w:autoSpaceDN w:val="0"/>
        <w:adjustRightInd w:val="0"/>
        <w:spacing w:after="0" w:line="240" w:lineRule="auto"/>
      </w:pPr>
      <w:r w:rsidRPr="004C0437">
        <w:t xml:space="preserve">A </w:t>
      </w:r>
      <w:r>
        <w:t>TTP</w:t>
      </w:r>
      <w:r w:rsidRPr="004C0437">
        <w:t xml:space="preserve"> analyses the data to match the</w:t>
      </w:r>
      <w:r>
        <w:t xml:space="preserve"> </w:t>
      </w:r>
      <w:r w:rsidRPr="004C0437">
        <w:t>records of individuals who appear in both datasets.</w:t>
      </w:r>
      <w:r>
        <w:t xml:space="preserve">  </w:t>
      </w:r>
      <w:r w:rsidRPr="004C0437">
        <w:t>A new dataset can be created which contains research</w:t>
      </w:r>
      <w:r>
        <w:t xml:space="preserve"> </w:t>
      </w:r>
      <w:r w:rsidRPr="004C0437">
        <w:t>data without identifying individuals.</w:t>
      </w:r>
      <w:r>
        <w:t xml:space="preserve"> </w:t>
      </w:r>
      <w:r w:rsidRPr="004C0437">
        <w:t>The researchers have access to useful data, in an</w:t>
      </w:r>
      <w:r>
        <w:t xml:space="preserve"> </w:t>
      </w:r>
      <w:r w:rsidRPr="004C0437">
        <w:t>environment which prevents them identifying</w:t>
      </w:r>
      <w:r>
        <w:t xml:space="preserve"> </w:t>
      </w:r>
      <w:r w:rsidRPr="004C0437">
        <w:t>individual subjects.</w:t>
      </w:r>
    </w:p>
    <w:p w14:paraId="72BA7640" w14:textId="77777777" w:rsidR="00FE0FFF" w:rsidRDefault="00FE0FFF" w:rsidP="00E561F7">
      <w:pPr>
        <w:pStyle w:val="ListParagraph"/>
        <w:autoSpaceDE w:val="0"/>
        <w:autoSpaceDN w:val="0"/>
        <w:adjustRightInd w:val="0"/>
        <w:spacing w:after="0" w:line="240" w:lineRule="auto"/>
        <w:ind w:left="1440"/>
      </w:pPr>
    </w:p>
    <w:p w14:paraId="76577C58" w14:textId="77777777" w:rsidR="00FE0FFF" w:rsidRDefault="00FE0FFF" w:rsidP="00E561F7">
      <w:pPr>
        <w:autoSpaceDE w:val="0"/>
        <w:autoSpaceDN w:val="0"/>
        <w:adjustRightInd w:val="0"/>
        <w:spacing w:after="0" w:line="240" w:lineRule="auto"/>
      </w:pPr>
      <w:r w:rsidRPr="004C0437">
        <w:lastRenderedPageBreak/>
        <w:t>The personal data can then be anonymised in ‘safe’, high security</w:t>
      </w:r>
      <w:r>
        <w:t xml:space="preserve"> </w:t>
      </w:r>
      <w:r w:rsidRPr="004C0437">
        <w:t>conditions and to an agreed specification</w:t>
      </w:r>
      <w:r>
        <w:t>,</w:t>
      </w:r>
      <w:r w:rsidRPr="004C0437">
        <w:t xml:space="preserve"> allowing the subsequent</w:t>
      </w:r>
      <w:r>
        <w:t xml:space="preserve"> </w:t>
      </w:r>
      <w:r w:rsidRPr="004C0437">
        <w:t>linkage of anonymised individual-level data, for example.</w:t>
      </w:r>
    </w:p>
    <w:p w14:paraId="154A28FE" w14:textId="77777777" w:rsidR="00FE0FFF" w:rsidRPr="004C0437" w:rsidRDefault="00FE0FFF" w:rsidP="00E561F7">
      <w:pPr>
        <w:pStyle w:val="ListParagraph"/>
        <w:autoSpaceDE w:val="0"/>
        <w:autoSpaceDN w:val="0"/>
        <w:adjustRightInd w:val="0"/>
        <w:spacing w:after="0" w:line="240" w:lineRule="auto"/>
        <w:ind w:left="1440"/>
      </w:pPr>
    </w:p>
    <w:p w14:paraId="591356D6" w14:textId="77777777" w:rsidR="00FE0FFF" w:rsidRDefault="00FE0FFF" w:rsidP="00E561F7">
      <w:pPr>
        <w:autoSpaceDE w:val="0"/>
        <w:autoSpaceDN w:val="0"/>
        <w:adjustRightInd w:val="0"/>
        <w:spacing w:after="0" w:line="240" w:lineRule="auto"/>
      </w:pPr>
      <w:r w:rsidRPr="004C0437">
        <w:t>The great advantage of a TTP arrangement is that it allows social</w:t>
      </w:r>
      <w:r>
        <w:t xml:space="preserve"> </w:t>
      </w:r>
      <w:r w:rsidRPr="004C0437">
        <w:t>science research to take place</w:t>
      </w:r>
      <w:r>
        <w:t>, e.g.</w:t>
      </w:r>
      <w:r w:rsidRPr="004C0437">
        <w:t xml:space="preserve"> using anonymised</w:t>
      </w:r>
      <w:r>
        <w:t xml:space="preserve"> </w:t>
      </w:r>
      <w:r w:rsidRPr="004C0437">
        <w:t>data derived from health and criminal justice records</w:t>
      </w:r>
      <w:r>
        <w:t xml:space="preserve">, </w:t>
      </w:r>
      <w:r w:rsidRPr="004C0437">
        <w:t>without the</w:t>
      </w:r>
      <w:r>
        <w:t xml:space="preserve"> </w:t>
      </w:r>
      <w:r w:rsidRPr="004C0437">
        <w:t>organisations involved ever having access to each</w:t>
      </w:r>
      <w:r>
        <w:t xml:space="preserve"> </w:t>
      </w:r>
      <w:r w:rsidRPr="004C0437">
        <w:t>other’s personal</w:t>
      </w:r>
      <w:r>
        <w:t xml:space="preserve"> </w:t>
      </w:r>
      <w:r w:rsidRPr="004C0437">
        <w:t>data. Security, anonymisation and anti-re-identification measures</w:t>
      </w:r>
      <w:r>
        <w:t xml:space="preserve"> </w:t>
      </w:r>
      <w:r w:rsidRPr="004C0437">
        <w:t>take</w:t>
      </w:r>
      <w:r>
        <w:t>n by the TTP should be covered in an</w:t>
      </w:r>
      <w:r w:rsidRPr="004C0437">
        <w:t xml:space="preserve"> agreement.</w:t>
      </w:r>
    </w:p>
    <w:p w14:paraId="55F74348" w14:textId="77777777" w:rsidR="00FE0FFF" w:rsidRPr="00E1504B" w:rsidRDefault="00FE0FFF" w:rsidP="00E561F7">
      <w:pPr>
        <w:spacing w:line="240" w:lineRule="auto"/>
        <w:rPr>
          <w:b/>
        </w:rPr>
      </w:pPr>
    </w:p>
    <w:p w14:paraId="7E1A145B" w14:textId="000AE226" w:rsidR="00E94627" w:rsidRPr="00FA6001" w:rsidRDefault="00E94627" w:rsidP="00FA6001">
      <w:pPr>
        <w:spacing w:after="0" w:line="240" w:lineRule="auto"/>
        <w:rPr>
          <w:b/>
        </w:rPr>
      </w:pPr>
      <w:r w:rsidRPr="00F3179E">
        <w:rPr>
          <w:b/>
        </w:rPr>
        <w:t>Further Guidance</w:t>
      </w:r>
    </w:p>
    <w:p w14:paraId="498BE90F" w14:textId="77777777" w:rsidR="00FE0FFF" w:rsidRDefault="00417AB4" w:rsidP="00E561F7">
      <w:pPr>
        <w:pStyle w:val="ListParagraph"/>
        <w:spacing w:line="240" w:lineRule="auto"/>
        <w:ind w:left="1440"/>
      </w:pPr>
      <w:hyperlink r:id="rId15" w:history="1">
        <w:r w:rsidR="00FE0FFF" w:rsidRPr="00FD1282">
          <w:rPr>
            <w:rStyle w:val="Hyperlink"/>
          </w:rPr>
          <w:t>www.ico.org.uk</w:t>
        </w:r>
      </w:hyperlink>
      <w:r w:rsidR="00FE0FFF">
        <w:t xml:space="preserve"> </w:t>
      </w:r>
    </w:p>
    <w:p w14:paraId="1778C3FC" w14:textId="77777777" w:rsidR="00FE0FFF" w:rsidRDefault="00417AB4" w:rsidP="00E561F7">
      <w:pPr>
        <w:pStyle w:val="ListParagraph"/>
        <w:spacing w:line="240" w:lineRule="auto"/>
        <w:ind w:left="1440"/>
        <w:rPr>
          <w:rStyle w:val="Hyperlink"/>
        </w:rPr>
      </w:pPr>
      <w:hyperlink r:id="rId16" w:history="1">
        <w:r w:rsidR="00FE0FFF" w:rsidRPr="002040B2">
          <w:rPr>
            <w:rStyle w:val="Hyperlink"/>
          </w:rPr>
          <w:t>Anonymisation Code of Practice – November 2012</w:t>
        </w:r>
      </w:hyperlink>
    </w:p>
    <w:p w14:paraId="34775F28" w14:textId="77777777" w:rsidR="00D224A8" w:rsidRDefault="00D224A8" w:rsidP="00E561F7">
      <w:pPr>
        <w:pStyle w:val="Heading1"/>
        <w:numPr>
          <w:ilvl w:val="0"/>
          <w:numId w:val="11"/>
        </w:numPr>
        <w:spacing w:line="240" w:lineRule="auto"/>
      </w:pPr>
      <w:bookmarkStart w:id="8" w:name="_Toc67579834"/>
      <w:r>
        <w:t>Advice and Support</w:t>
      </w:r>
      <w:bookmarkEnd w:id="8"/>
    </w:p>
    <w:p w14:paraId="628A5466" w14:textId="77777777" w:rsidR="00D224A8" w:rsidRDefault="00D224A8" w:rsidP="00FA6001">
      <w:pPr>
        <w:spacing w:after="0" w:line="240" w:lineRule="auto"/>
        <w:ind w:left="360"/>
      </w:pPr>
    </w:p>
    <w:p w14:paraId="6FD4C935" w14:textId="77777777" w:rsidR="00D224A8" w:rsidRDefault="00D224A8" w:rsidP="00E561F7">
      <w:pPr>
        <w:spacing w:line="240" w:lineRule="auto"/>
      </w:pPr>
      <w:r>
        <w:t xml:space="preserve">If you have any issues over the clarity of these procedures, how they should be applied in practice, require advice about exemptions from the requirements or have any suggestions for amendments, please contact </w:t>
      </w:r>
      <w:r w:rsidR="00300ED7">
        <w:t>the school office or your Data Protection Officer.</w:t>
      </w:r>
    </w:p>
    <w:p w14:paraId="6AD71999" w14:textId="77777777" w:rsidR="009264C8" w:rsidRDefault="00142418" w:rsidP="00E561F7">
      <w:pPr>
        <w:pStyle w:val="Heading1"/>
        <w:numPr>
          <w:ilvl w:val="0"/>
          <w:numId w:val="11"/>
        </w:numPr>
        <w:spacing w:line="240" w:lineRule="auto"/>
      </w:pPr>
      <w:bookmarkStart w:id="9" w:name="_Toc67579835"/>
      <w:r w:rsidRPr="00142418">
        <w:t>Breach Statement</w:t>
      </w:r>
      <w:bookmarkEnd w:id="9"/>
    </w:p>
    <w:p w14:paraId="58FDE2F0" w14:textId="77777777" w:rsidR="009264C8" w:rsidRPr="009264C8" w:rsidRDefault="009264C8" w:rsidP="00FA6001">
      <w:pPr>
        <w:spacing w:after="0" w:line="240" w:lineRule="auto"/>
      </w:pPr>
    </w:p>
    <w:p w14:paraId="1EF801CF" w14:textId="77777777" w:rsidR="00142418" w:rsidRDefault="00D224A8" w:rsidP="00E561F7">
      <w:pPr>
        <w:spacing w:line="240" w:lineRule="auto"/>
      </w:pPr>
      <w:r>
        <w:t>A breach</w:t>
      </w:r>
      <w:r w:rsidR="00142418">
        <w:t xml:space="preserve"> of </w:t>
      </w:r>
      <w:r>
        <w:t xml:space="preserve">this procedure is a breach of Information Policy. Breaches </w:t>
      </w:r>
      <w:r w:rsidR="00142418" w:rsidRPr="00552A9E">
        <w:t xml:space="preserve">will be investigated and may result in disciplinary action. Serious breaches of </w:t>
      </w:r>
      <w:r w:rsidR="00142418">
        <w:t>Policy</w:t>
      </w:r>
      <w:r w:rsidR="00142418" w:rsidRPr="00552A9E">
        <w:t xml:space="preserve"> may be considered gross misconduct and res</w:t>
      </w:r>
      <w:r w:rsidR="00142418">
        <w:t>ult in dismissal without notice, or legal action being taken against you.</w:t>
      </w:r>
    </w:p>
    <w:p w14:paraId="2B6A15E7" w14:textId="77777777" w:rsidR="00C17B96" w:rsidRDefault="00C17B96" w:rsidP="00E561F7">
      <w:pPr>
        <w:pStyle w:val="NoSpacing"/>
        <w:ind w:left="426"/>
      </w:pPr>
    </w:p>
    <w:sectPr w:rsidR="00C17B96" w:rsidSect="00494A56">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5DAE2" w14:textId="77777777" w:rsidR="00AB7101" w:rsidRDefault="00AB7101" w:rsidP="000568F0">
      <w:pPr>
        <w:spacing w:after="0" w:line="240" w:lineRule="auto"/>
      </w:pPr>
      <w:r>
        <w:separator/>
      </w:r>
    </w:p>
  </w:endnote>
  <w:endnote w:type="continuationSeparator" w:id="0">
    <w:p w14:paraId="2AEAF69B" w14:textId="77777777" w:rsidR="00AB7101" w:rsidRDefault="00AB7101" w:rsidP="000568F0">
      <w:pPr>
        <w:spacing w:after="0" w:line="240" w:lineRule="auto"/>
      </w:pPr>
      <w:r>
        <w:continuationSeparator/>
      </w:r>
    </w:p>
  </w:endnote>
  <w:endnote w:type="continuationNotice" w:id="1">
    <w:p w14:paraId="5959916E" w14:textId="77777777" w:rsidR="009B23D8" w:rsidRDefault="009B23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C6E88" w14:textId="77777777" w:rsidR="00040BFD" w:rsidRDefault="00040B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68861" w14:textId="0714F53C" w:rsidR="00EE6D6E" w:rsidRDefault="00030348" w:rsidP="00030348">
    <w:pPr>
      <w:pStyle w:val="Footer"/>
      <w:tabs>
        <w:tab w:val="clear" w:pos="4513"/>
        <w:tab w:val="clear" w:pos="9026"/>
        <w:tab w:val="left" w:pos="6195"/>
        <w:tab w:val="left" w:pos="6810"/>
      </w:tabs>
    </w:pPr>
    <w:r>
      <w:tab/>
      <w:t>© Essex County Council</w: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CD778" w14:textId="77777777" w:rsidR="00040BFD" w:rsidRDefault="00040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AC097" w14:textId="77777777" w:rsidR="00AB7101" w:rsidRDefault="00AB7101" w:rsidP="000568F0">
      <w:pPr>
        <w:spacing w:after="0" w:line="240" w:lineRule="auto"/>
      </w:pPr>
      <w:r>
        <w:separator/>
      </w:r>
    </w:p>
  </w:footnote>
  <w:footnote w:type="continuationSeparator" w:id="0">
    <w:p w14:paraId="18AB220C" w14:textId="77777777" w:rsidR="00AB7101" w:rsidRDefault="00AB7101" w:rsidP="000568F0">
      <w:pPr>
        <w:spacing w:after="0" w:line="240" w:lineRule="auto"/>
      </w:pPr>
      <w:r>
        <w:continuationSeparator/>
      </w:r>
    </w:p>
  </w:footnote>
  <w:footnote w:type="continuationNotice" w:id="1">
    <w:p w14:paraId="608BDE50" w14:textId="77777777" w:rsidR="009B23D8" w:rsidRDefault="009B23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DAC6D" w14:textId="77777777" w:rsidR="00040BFD" w:rsidRDefault="00040B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01AEA" w14:textId="77777777" w:rsidR="00040BFD" w:rsidRDefault="00040B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370FC" w14:textId="77777777" w:rsidR="00040BFD" w:rsidRDefault="00040B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B3E5E"/>
    <w:multiLevelType w:val="hybridMultilevel"/>
    <w:tmpl w:val="B802B25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23B137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0D5B29"/>
    <w:multiLevelType w:val="hybridMultilevel"/>
    <w:tmpl w:val="A5506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40124A"/>
    <w:multiLevelType w:val="hybridMultilevel"/>
    <w:tmpl w:val="72663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A50E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7B6788"/>
    <w:multiLevelType w:val="multilevel"/>
    <w:tmpl w:val="471C7E2A"/>
    <w:lvl w:ilvl="0">
      <w:start w:val="3"/>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AE5438E"/>
    <w:multiLevelType w:val="hybridMultilevel"/>
    <w:tmpl w:val="AF16820A"/>
    <w:lvl w:ilvl="0" w:tplc="08090001">
      <w:start w:val="1"/>
      <w:numFmt w:val="bullet"/>
      <w:lvlText w:val=""/>
      <w:lvlJc w:val="left"/>
      <w:pPr>
        <w:ind w:left="1152" w:hanging="360"/>
      </w:pPr>
      <w:rPr>
        <w:rFonts w:ascii="Symbol" w:hAnsi="Symbol" w:hint="default"/>
      </w:rPr>
    </w:lvl>
    <w:lvl w:ilvl="1" w:tplc="08090001">
      <w:start w:val="1"/>
      <w:numFmt w:val="bullet"/>
      <w:lvlText w:val=""/>
      <w:lvlJc w:val="left"/>
      <w:pPr>
        <w:ind w:left="1872" w:hanging="360"/>
      </w:pPr>
      <w:rPr>
        <w:rFonts w:ascii="Symbol" w:hAnsi="Symbol"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7" w15:restartNumberingAfterBreak="0">
    <w:nsid w:val="2FB91144"/>
    <w:multiLevelType w:val="hybridMultilevel"/>
    <w:tmpl w:val="0BA8826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0700542"/>
    <w:multiLevelType w:val="hybridMultilevel"/>
    <w:tmpl w:val="38BE5940"/>
    <w:lvl w:ilvl="0" w:tplc="C9D441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2411F33"/>
    <w:multiLevelType w:val="hybridMultilevel"/>
    <w:tmpl w:val="2E9C8642"/>
    <w:lvl w:ilvl="0" w:tplc="0809000F">
      <w:start w:val="1"/>
      <w:numFmt w:val="decimal"/>
      <w:lvlText w:val="%1."/>
      <w:lvlJc w:val="left"/>
      <w:pPr>
        <w:ind w:left="1146" w:hanging="360"/>
      </w:pPr>
      <w:rPr>
        <w:rFonts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4850665"/>
    <w:multiLevelType w:val="hybridMultilevel"/>
    <w:tmpl w:val="ED209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670D99"/>
    <w:multiLevelType w:val="hybridMultilevel"/>
    <w:tmpl w:val="D556EA8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43DE675D"/>
    <w:multiLevelType w:val="multilevel"/>
    <w:tmpl w:val="F10CE328"/>
    <w:lvl w:ilvl="0">
      <w:start w:val="1"/>
      <w:numFmt w:val="decimal"/>
      <w:lvlText w:val="%1."/>
      <w:lvlJc w:val="left"/>
      <w:pPr>
        <w:ind w:left="360" w:hanging="360"/>
      </w:pPr>
      <w:rPr>
        <w:b/>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CF631DD"/>
    <w:multiLevelType w:val="hybridMultilevel"/>
    <w:tmpl w:val="6818D0A0"/>
    <w:lvl w:ilvl="0" w:tplc="C9A2DB4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2B1706"/>
    <w:multiLevelType w:val="hybridMultilevel"/>
    <w:tmpl w:val="B12A1664"/>
    <w:lvl w:ilvl="0" w:tplc="08090017">
      <w:start w:val="1"/>
      <w:numFmt w:val="lowerLetter"/>
      <w:lvlText w:val="%1)"/>
      <w:lvlJc w:val="left"/>
      <w:pPr>
        <w:ind w:left="-3108" w:hanging="360"/>
      </w:pPr>
      <w:rPr>
        <w:rFonts w:hint="default"/>
      </w:rPr>
    </w:lvl>
    <w:lvl w:ilvl="1" w:tplc="08090019" w:tentative="1">
      <w:start w:val="1"/>
      <w:numFmt w:val="lowerLetter"/>
      <w:lvlText w:val="%2."/>
      <w:lvlJc w:val="left"/>
      <w:pPr>
        <w:ind w:left="-2388" w:hanging="360"/>
      </w:pPr>
    </w:lvl>
    <w:lvl w:ilvl="2" w:tplc="0809001B" w:tentative="1">
      <w:start w:val="1"/>
      <w:numFmt w:val="lowerRoman"/>
      <w:lvlText w:val="%3."/>
      <w:lvlJc w:val="right"/>
      <w:pPr>
        <w:ind w:left="-1668" w:hanging="180"/>
      </w:pPr>
    </w:lvl>
    <w:lvl w:ilvl="3" w:tplc="0809000F" w:tentative="1">
      <w:start w:val="1"/>
      <w:numFmt w:val="decimal"/>
      <w:lvlText w:val="%4."/>
      <w:lvlJc w:val="left"/>
      <w:pPr>
        <w:ind w:left="-948" w:hanging="360"/>
      </w:pPr>
    </w:lvl>
    <w:lvl w:ilvl="4" w:tplc="08090019" w:tentative="1">
      <w:start w:val="1"/>
      <w:numFmt w:val="lowerLetter"/>
      <w:lvlText w:val="%5."/>
      <w:lvlJc w:val="left"/>
      <w:pPr>
        <w:ind w:left="-228" w:hanging="360"/>
      </w:pPr>
    </w:lvl>
    <w:lvl w:ilvl="5" w:tplc="0809001B" w:tentative="1">
      <w:start w:val="1"/>
      <w:numFmt w:val="lowerRoman"/>
      <w:lvlText w:val="%6."/>
      <w:lvlJc w:val="right"/>
      <w:pPr>
        <w:ind w:left="492" w:hanging="180"/>
      </w:pPr>
    </w:lvl>
    <w:lvl w:ilvl="6" w:tplc="0809000F" w:tentative="1">
      <w:start w:val="1"/>
      <w:numFmt w:val="decimal"/>
      <w:lvlText w:val="%7."/>
      <w:lvlJc w:val="left"/>
      <w:pPr>
        <w:ind w:left="1212" w:hanging="360"/>
      </w:pPr>
    </w:lvl>
    <w:lvl w:ilvl="7" w:tplc="08090019" w:tentative="1">
      <w:start w:val="1"/>
      <w:numFmt w:val="lowerLetter"/>
      <w:lvlText w:val="%8."/>
      <w:lvlJc w:val="left"/>
      <w:pPr>
        <w:ind w:left="1932" w:hanging="360"/>
      </w:pPr>
    </w:lvl>
    <w:lvl w:ilvl="8" w:tplc="0809001B" w:tentative="1">
      <w:start w:val="1"/>
      <w:numFmt w:val="lowerRoman"/>
      <w:lvlText w:val="%9."/>
      <w:lvlJc w:val="right"/>
      <w:pPr>
        <w:ind w:left="2652" w:hanging="180"/>
      </w:pPr>
    </w:lvl>
  </w:abstractNum>
  <w:abstractNum w:abstractNumId="15" w15:restartNumberingAfterBreak="0">
    <w:nsid w:val="58A626BC"/>
    <w:multiLevelType w:val="hybridMultilevel"/>
    <w:tmpl w:val="47C4A5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3211E3"/>
    <w:multiLevelType w:val="hybridMultilevel"/>
    <w:tmpl w:val="D1B6B9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9530E3C"/>
    <w:multiLevelType w:val="hybridMultilevel"/>
    <w:tmpl w:val="CA8E393C"/>
    <w:lvl w:ilvl="0" w:tplc="C9A2DB4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B46311"/>
    <w:multiLevelType w:val="hybridMultilevel"/>
    <w:tmpl w:val="7E3EB900"/>
    <w:lvl w:ilvl="0" w:tplc="C9A2DB4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1CC1AA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A297F3E"/>
    <w:multiLevelType w:val="hybridMultilevel"/>
    <w:tmpl w:val="6DA4AEBE"/>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B99232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07E6B52"/>
    <w:multiLevelType w:val="multilevel"/>
    <w:tmpl w:val="3B26B3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E751A90"/>
    <w:multiLevelType w:val="multilevel"/>
    <w:tmpl w:val="86A00E08"/>
    <w:lvl w:ilvl="0">
      <w:start w:val="5"/>
      <w:numFmt w:val="lowerLetter"/>
      <w:lvlText w:val="(%1)"/>
      <w:lvlJc w:val="left"/>
      <w:pPr>
        <w:tabs>
          <w:tab w:val="left" w:pos="288"/>
        </w:tabs>
        <w:ind w:left="720"/>
      </w:pPr>
      <w:rPr>
        <w:rFonts w:ascii="Times New Roman" w:eastAsia="Times New Roman" w:hAnsi="Times New Roman"/>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0"/>
  </w:num>
  <w:num w:numId="3">
    <w:abstractNumId w:val="11"/>
  </w:num>
  <w:num w:numId="4">
    <w:abstractNumId w:val="9"/>
  </w:num>
  <w:num w:numId="5">
    <w:abstractNumId w:val="3"/>
  </w:num>
  <w:num w:numId="6">
    <w:abstractNumId w:val="10"/>
  </w:num>
  <w:num w:numId="7">
    <w:abstractNumId w:val="21"/>
  </w:num>
  <w:num w:numId="8">
    <w:abstractNumId w:val="4"/>
  </w:num>
  <w:num w:numId="9">
    <w:abstractNumId w:val="1"/>
  </w:num>
  <w:num w:numId="10">
    <w:abstractNumId w:val="22"/>
  </w:num>
  <w:num w:numId="11">
    <w:abstractNumId w:val="19"/>
  </w:num>
  <w:num w:numId="12">
    <w:abstractNumId w:val="6"/>
  </w:num>
  <w:num w:numId="13">
    <w:abstractNumId w:val="2"/>
  </w:num>
  <w:num w:numId="14">
    <w:abstractNumId w:val="18"/>
  </w:num>
  <w:num w:numId="15">
    <w:abstractNumId w:val="13"/>
  </w:num>
  <w:num w:numId="16">
    <w:abstractNumId w:val="17"/>
  </w:num>
  <w:num w:numId="17">
    <w:abstractNumId w:val="5"/>
  </w:num>
  <w:num w:numId="18">
    <w:abstractNumId w:val="8"/>
  </w:num>
  <w:num w:numId="19">
    <w:abstractNumId w:val="14"/>
  </w:num>
  <w:num w:numId="20">
    <w:abstractNumId w:val="0"/>
  </w:num>
  <w:num w:numId="21">
    <w:abstractNumId w:val="7"/>
  </w:num>
  <w:num w:numId="22">
    <w:abstractNumId w:val="16"/>
  </w:num>
  <w:num w:numId="23">
    <w:abstractNumId w:val="1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929"/>
    <w:rsid w:val="00003049"/>
    <w:rsid w:val="00016299"/>
    <w:rsid w:val="00030348"/>
    <w:rsid w:val="00040BFD"/>
    <w:rsid w:val="00051290"/>
    <w:rsid w:val="00053222"/>
    <w:rsid w:val="000568F0"/>
    <w:rsid w:val="00057687"/>
    <w:rsid w:val="000613E2"/>
    <w:rsid w:val="00076C8E"/>
    <w:rsid w:val="00076E90"/>
    <w:rsid w:val="000D4CC8"/>
    <w:rsid w:val="000D50C5"/>
    <w:rsid w:val="00112DB9"/>
    <w:rsid w:val="00142418"/>
    <w:rsid w:val="00151B59"/>
    <w:rsid w:val="00186D65"/>
    <w:rsid w:val="001E7E9D"/>
    <w:rsid w:val="001F4D22"/>
    <w:rsid w:val="00215469"/>
    <w:rsid w:val="00231FC7"/>
    <w:rsid w:val="00300ED7"/>
    <w:rsid w:val="00304BEA"/>
    <w:rsid w:val="0031348C"/>
    <w:rsid w:val="00354D53"/>
    <w:rsid w:val="003673DA"/>
    <w:rsid w:val="003C7B56"/>
    <w:rsid w:val="003D503C"/>
    <w:rsid w:val="00417AB4"/>
    <w:rsid w:val="00494A56"/>
    <w:rsid w:val="004B6809"/>
    <w:rsid w:val="004D794E"/>
    <w:rsid w:val="004E7004"/>
    <w:rsid w:val="00521A92"/>
    <w:rsid w:val="005564B6"/>
    <w:rsid w:val="00597E25"/>
    <w:rsid w:val="005C03F8"/>
    <w:rsid w:val="005D0C8E"/>
    <w:rsid w:val="005E0DD4"/>
    <w:rsid w:val="0060555F"/>
    <w:rsid w:val="0063121C"/>
    <w:rsid w:val="006624F4"/>
    <w:rsid w:val="006B62CC"/>
    <w:rsid w:val="006D5766"/>
    <w:rsid w:val="006F521B"/>
    <w:rsid w:val="00705062"/>
    <w:rsid w:val="00711F7D"/>
    <w:rsid w:val="00762AA6"/>
    <w:rsid w:val="00771299"/>
    <w:rsid w:val="007B0245"/>
    <w:rsid w:val="007F28E6"/>
    <w:rsid w:val="00845BEE"/>
    <w:rsid w:val="00886297"/>
    <w:rsid w:val="008C17B5"/>
    <w:rsid w:val="008E1D6C"/>
    <w:rsid w:val="00902B85"/>
    <w:rsid w:val="009264C8"/>
    <w:rsid w:val="00935331"/>
    <w:rsid w:val="00976FDE"/>
    <w:rsid w:val="00980148"/>
    <w:rsid w:val="009A1A0C"/>
    <w:rsid w:val="009B23D8"/>
    <w:rsid w:val="009D7E80"/>
    <w:rsid w:val="00A0606B"/>
    <w:rsid w:val="00A24858"/>
    <w:rsid w:val="00A24A90"/>
    <w:rsid w:val="00A27834"/>
    <w:rsid w:val="00A30D9B"/>
    <w:rsid w:val="00A41D1B"/>
    <w:rsid w:val="00A81783"/>
    <w:rsid w:val="00AA08DD"/>
    <w:rsid w:val="00AB5679"/>
    <w:rsid w:val="00AB7101"/>
    <w:rsid w:val="00B06ED4"/>
    <w:rsid w:val="00B11348"/>
    <w:rsid w:val="00B734C7"/>
    <w:rsid w:val="00BD2B13"/>
    <w:rsid w:val="00BE7DF4"/>
    <w:rsid w:val="00BF692F"/>
    <w:rsid w:val="00C17B96"/>
    <w:rsid w:val="00C76656"/>
    <w:rsid w:val="00C76929"/>
    <w:rsid w:val="00C84052"/>
    <w:rsid w:val="00CD6DF9"/>
    <w:rsid w:val="00CE0D1E"/>
    <w:rsid w:val="00D224A8"/>
    <w:rsid w:val="00D36647"/>
    <w:rsid w:val="00D40B7A"/>
    <w:rsid w:val="00D671ED"/>
    <w:rsid w:val="00D754BF"/>
    <w:rsid w:val="00D816F1"/>
    <w:rsid w:val="00D87390"/>
    <w:rsid w:val="00DD3F22"/>
    <w:rsid w:val="00DD527C"/>
    <w:rsid w:val="00DE08E0"/>
    <w:rsid w:val="00DE13C1"/>
    <w:rsid w:val="00E14356"/>
    <w:rsid w:val="00E561F7"/>
    <w:rsid w:val="00E763B3"/>
    <w:rsid w:val="00E87C0F"/>
    <w:rsid w:val="00E94627"/>
    <w:rsid w:val="00E94905"/>
    <w:rsid w:val="00EA4E50"/>
    <w:rsid w:val="00EB5013"/>
    <w:rsid w:val="00ED30F3"/>
    <w:rsid w:val="00EE6D6E"/>
    <w:rsid w:val="00F12A52"/>
    <w:rsid w:val="00F239CD"/>
    <w:rsid w:val="00F3179E"/>
    <w:rsid w:val="00F42FD6"/>
    <w:rsid w:val="00F60CF4"/>
    <w:rsid w:val="00F63480"/>
    <w:rsid w:val="00FA6001"/>
    <w:rsid w:val="00FB2B25"/>
    <w:rsid w:val="00FE0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0E2B9E"/>
  <w15:docId w15:val="{1E0D1D32-50CC-4070-AD05-563DE3E0A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929"/>
    <w:pPr>
      <w:spacing w:after="200" w:line="276" w:lineRule="auto"/>
    </w:pPr>
    <w:rPr>
      <w:rFonts w:eastAsia="Calibri"/>
    </w:rPr>
  </w:style>
  <w:style w:type="paragraph" w:styleId="Heading1">
    <w:name w:val="heading 1"/>
    <w:basedOn w:val="Normal"/>
    <w:next w:val="Normal"/>
    <w:link w:val="Heading1Char"/>
    <w:uiPriority w:val="9"/>
    <w:qFormat/>
    <w:rsid w:val="00A81783"/>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3673DA"/>
    <w:pPr>
      <w:keepNext/>
      <w:keepLines/>
      <w:spacing w:before="40" w:after="0"/>
      <w:outlineLvl w:val="1"/>
    </w:pPr>
    <w:rPr>
      <w:rFonts w:asciiTheme="majorHAnsi" w:eastAsiaTheme="majorEastAsia" w:hAnsiTheme="majorHAnsi" w:cstheme="majorBidi"/>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76929"/>
    <w:pPr>
      <w:spacing w:after="0" w:line="240" w:lineRule="auto"/>
    </w:pPr>
    <w:rPr>
      <w:rFonts w:eastAsia="Calibri"/>
      <w:lang w:eastAsia="en-GB"/>
    </w:rPr>
  </w:style>
  <w:style w:type="character" w:customStyle="1" w:styleId="Heading1Char">
    <w:name w:val="Heading 1 Char"/>
    <w:basedOn w:val="DefaultParagraphFont"/>
    <w:link w:val="Heading1"/>
    <w:uiPriority w:val="9"/>
    <w:rsid w:val="00A81783"/>
    <w:rPr>
      <w:rFonts w:eastAsiaTheme="majorEastAsia" w:cstheme="majorBidi"/>
      <w:b/>
      <w:szCs w:val="32"/>
    </w:rPr>
  </w:style>
  <w:style w:type="paragraph" w:styleId="TOCHeading">
    <w:name w:val="TOC Heading"/>
    <w:basedOn w:val="Heading1"/>
    <w:next w:val="Normal"/>
    <w:uiPriority w:val="39"/>
    <w:unhideWhenUsed/>
    <w:qFormat/>
    <w:rsid w:val="00C76929"/>
    <w:pPr>
      <w:spacing w:before="480"/>
      <w:outlineLvl w:val="9"/>
    </w:pPr>
    <w:rPr>
      <w:rFonts w:ascii="Cambria" w:eastAsia="MS Gothic" w:hAnsi="Cambria" w:cs="Times New Roman"/>
      <w:b w:val="0"/>
      <w:bCs/>
      <w:color w:val="365F91"/>
      <w:sz w:val="28"/>
      <w:szCs w:val="28"/>
      <w:lang w:val="en-US" w:eastAsia="ja-JP"/>
    </w:rPr>
  </w:style>
  <w:style w:type="character" w:styleId="Hyperlink">
    <w:name w:val="Hyperlink"/>
    <w:basedOn w:val="DefaultParagraphFont"/>
    <w:uiPriority w:val="99"/>
    <w:unhideWhenUsed/>
    <w:rsid w:val="00C76929"/>
    <w:rPr>
      <w:color w:val="0563C1" w:themeColor="hyperlink"/>
      <w:u w:val="single"/>
    </w:rPr>
  </w:style>
  <w:style w:type="paragraph" w:styleId="ListParagraph">
    <w:name w:val="List Paragraph"/>
    <w:basedOn w:val="Normal"/>
    <w:uiPriority w:val="34"/>
    <w:qFormat/>
    <w:rsid w:val="00C76929"/>
    <w:pPr>
      <w:ind w:left="720"/>
      <w:contextualSpacing/>
    </w:pPr>
  </w:style>
  <w:style w:type="paragraph" w:styleId="TOC1">
    <w:name w:val="toc 1"/>
    <w:basedOn w:val="Normal"/>
    <w:next w:val="Normal"/>
    <w:autoRedefine/>
    <w:uiPriority w:val="39"/>
    <w:rsid w:val="00C76929"/>
    <w:pPr>
      <w:tabs>
        <w:tab w:val="right" w:leader="dot" w:pos="9016"/>
      </w:tabs>
      <w:spacing w:after="0" w:line="360" w:lineRule="auto"/>
      <w:ind w:left="851" w:hanging="425"/>
    </w:pPr>
    <w:rPr>
      <w:rFonts w:eastAsia="Times New Roman" w:cs="Times New Roman"/>
      <w:noProof/>
      <w:u w:color="FFFFFF" w:themeColor="background1"/>
      <w:lang w:eastAsia="en-GB"/>
    </w:rPr>
  </w:style>
  <w:style w:type="character" w:customStyle="1" w:styleId="NoSpacingChar">
    <w:name w:val="No Spacing Char"/>
    <w:link w:val="NoSpacing"/>
    <w:uiPriority w:val="1"/>
    <w:rsid w:val="00C76929"/>
    <w:rPr>
      <w:rFonts w:eastAsia="Calibri"/>
      <w:lang w:eastAsia="en-GB"/>
    </w:rPr>
  </w:style>
  <w:style w:type="table" w:styleId="TableGrid">
    <w:name w:val="Table Grid"/>
    <w:basedOn w:val="TableNormal"/>
    <w:uiPriority w:val="59"/>
    <w:rsid w:val="00C7692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6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F0"/>
    <w:rPr>
      <w:rFonts w:eastAsia="Calibri"/>
    </w:rPr>
  </w:style>
  <w:style w:type="paragraph" w:styleId="Footer">
    <w:name w:val="footer"/>
    <w:basedOn w:val="Normal"/>
    <w:link w:val="FooterChar"/>
    <w:uiPriority w:val="99"/>
    <w:unhideWhenUsed/>
    <w:rsid w:val="00056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F0"/>
    <w:rPr>
      <w:rFonts w:eastAsia="Calibri"/>
    </w:rPr>
  </w:style>
  <w:style w:type="character" w:styleId="FollowedHyperlink">
    <w:name w:val="FollowedHyperlink"/>
    <w:basedOn w:val="DefaultParagraphFont"/>
    <w:uiPriority w:val="99"/>
    <w:semiHidden/>
    <w:unhideWhenUsed/>
    <w:rsid w:val="004D794E"/>
    <w:rPr>
      <w:color w:val="954F72" w:themeColor="followedHyperlink"/>
      <w:u w:val="single"/>
    </w:rPr>
  </w:style>
  <w:style w:type="paragraph" w:styleId="BalloonText">
    <w:name w:val="Balloon Text"/>
    <w:basedOn w:val="Normal"/>
    <w:link w:val="BalloonTextChar"/>
    <w:uiPriority w:val="99"/>
    <w:semiHidden/>
    <w:unhideWhenUsed/>
    <w:rsid w:val="00142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418"/>
    <w:rPr>
      <w:rFonts w:ascii="Tahoma" w:eastAsia="Calibri" w:hAnsi="Tahoma" w:cs="Tahoma"/>
      <w:sz w:val="16"/>
      <w:szCs w:val="16"/>
    </w:rPr>
  </w:style>
  <w:style w:type="character" w:customStyle="1" w:styleId="tgc">
    <w:name w:val="_tgc"/>
    <w:basedOn w:val="DefaultParagraphFont"/>
    <w:rsid w:val="00FE0FFF"/>
  </w:style>
  <w:style w:type="character" w:customStyle="1" w:styleId="Heading2Char">
    <w:name w:val="Heading 2 Char"/>
    <w:basedOn w:val="DefaultParagraphFont"/>
    <w:link w:val="Heading2"/>
    <w:uiPriority w:val="9"/>
    <w:rsid w:val="003673DA"/>
    <w:rPr>
      <w:rFonts w:asciiTheme="majorHAnsi" w:eastAsiaTheme="majorEastAsia" w:hAnsiTheme="majorHAnsi" w:cstheme="majorBidi"/>
      <w:b/>
      <w:i/>
      <w:sz w:val="26"/>
      <w:szCs w:val="26"/>
    </w:rPr>
  </w:style>
  <w:style w:type="paragraph" w:styleId="TOC2">
    <w:name w:val="toc 2"/>
    <w:basedOn w:val="Normal"/>
    <w:next w:val="Normal"/>
    <w:autoRedefine/>
    <w:uiPriority w:val="39"/>
    <w:unhideWhenUsed/>
    <w:rsid w:val="00151B5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3312">
      <w:bodyDiv w:val="1"/>
      <w:marLeft w:val="0"/>
      <w:marRight w:val="0"/>
      <w:marTop w:val="0"/>
      <w:marBottom w:val="0"/>
      <w:divBdr>
        <w:top w:val="none" w:sz="0" w:space="0" w:color="auto"/>
        <w:left w:val="none" w:sz="0" w:space="0" w:color="auto"/>
        <w:bottom w:val="none" w:sz="0" w:space="0" w:color="auto"/>
        <w:right w:val="none" w:sz="0" w:space="0" w:color="auto"/>
      </w:divBdr>
    </w:div>
    <w:div w:id="1041248003">
      <w:bodyDiv w:val="1"/>
      <w:marLeft w:val="0"/>
      <w:marRight w:val="0"/>
      <w:marTop w:val="0"/>
      <w:marBottom w:val="0"/>
      <w:divBdr>
        <w:top w:val="none" w:sz="0" w:space="0" w:color="auto"/>
        <w:left w:val="none" w:sz="0" w:space="0" w:color="auto"/>
        <w:bottom w:val="none" w:sz="0" w:space="0" w:color="auto"/>
        <w:right w:val="none" w:sz="0" w:space="0" w:color="auto"/>
      </w:divBdr>
    </w:div>
    <w:div w:id="118150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binaries/content/assets/legacy/pdf/b/e/1523202010guid.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digital.nhs.uk/data-and-information/information-standards/information-standards-and-data-collections-including-extractions/publications-and-notifications/standards-and-collections/isb1523-anonymisation-standard-for-publishing-health-and-social-care-dat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co.org.uk/media/for-organisations/documents/1061/anonymisation-code.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tionalarchives.gov.uk/doc/open-government-licence/version/2/"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187C883FF0784C992E856B46A0D86F" ma:contentTypeVersion="1" ma:contentTypeDescription="Create a new document." ma:contentTypeScope="" ma:versionID="8e7718dca1bebc1c815b56791d7549f6">
  <xsd:schema xmlns:xsd="http://www.w3.org/2001/XMLSchema" xmlns:xs="http://www.w3.org/2001/XMLSchema" xmlns:p="http://schemas.microsoft.com/office/2006/metadata/properties" xmlns:ns1="http://schemas.microsoft.com/sharepoint/v3" targetNamespace="http://schemas.microsoft.com/office/2006/metadata/properties" ma:root="true" ma:fieldsID="26ae8053387f972404f5ef1c4bc0980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7B6ED-83F4-4ACD-85E7-81F36405C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F6C5CF-9428-4D3F-958F-0AC16F1F4270}">
  <ds:schemaRefs>
    <ds:schemaRef ds:uri="http://schemas.microsoft.com/sharepoint/v3/contenttype/forms"/>
  </ds:schemaRefs>
</ds:datastoreItem>
</file>

<file path=customXml/itemProps3.xml><?xml version="1.0" encoding="utf-8"?>
<ds:datastoreItem xmlns:ds="http://schemas.openxmlformats.org/officeDocument/2006/customXml" ds:itemID="{242BC4F1-B686-415A-83C2-78C4831F8761}">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530CC68-DDFB-4332-99CF-D718AA04A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1934</Words>
  <Characters>11025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Arnold, IS Business Consultant Information Governance Strategy</dc:creator>
  <cp:keywords/>
  <cp:lastModifiedBy>Joanna Doran</cp:lastModifiedBy>
  <cp:revision>4</cp:revision>
  <dcterms:created xsi:type="dcterms:W3CDTF">2021-12-15T17:58:00Z</dcterms:created>
  <dcterms:modified xsi:type="dcterms:W3CDTF">2022-01-27T10:44:00Z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0x0101001B187C883FF0784C992E856B46A0D86F</vt:lpwstr>
  </property>
  <property fmtid="{D5CDD505-2E9C-101B-9397-08002B2CF9AE}" pid="3" name="MSIP_Label_39d8be9e-c8d9-4b9c-bd40-2c27cc7ea2e6_Enabled">
    <vt:lpwstr>true</vt:lpwstr>
  </property>
  <property fmtid="{D5CDD505-2E9C-101B-9397-08002B2CF9AE}" pid="4" name="MSIP_Label_39d8be9e-c8d9-4b9c-bd40-2c27cc7ea2e6_SetDate">
    <vt:lpwstr>2020-10-15T12:44:25Z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fa30689b-0c62-4e8d-a580-00008aaddd0e</vt:lpwstr>
  </property>
  <property fmtid="{D5CDD505-2E9C-101B-9397-08002B2CF9AE}" pid="9" name="MSIP_Label_39d8be9e-c8d9-4b9c-bd40-2c27cc7ea2e6_ContentBits">
    <vt:lpwstr>0</vt:lpwstr>
  </property>
  <property fmtid="{D5CDD505-2E9C-101B-9397-08002B2CF9AE}" pid="10" name="Order">
    <vt:r8>30000</vt:r8>
  </property>
  <property fmtid="{D5CDD505-2E9C-101B-9397-08002B2CF9AE}" pid="11" name="xd_Signature">
    <vt:bool>false</vt:bool>
  </property>
  <property fmtid="{D5CDD505-2E9C-101B-9397-08002B2CF9AE}" pid="12" name="xd_ProgID">
    <vt:lpwstr/>
  </property>
  <property fmtid="{D5CDD505-2E9C-101B-9397-08002B2CF9AE}" pid="13" name="SharedWithUsers">
    <vt:lpwstr/>
  </property>
  <property fmtid="{D5CDD505-2E9C-101B-9397-08002B2CF9AE}" pid="14" name="_SourceUrl">
    <vt:lpwstr/>
  </property>
  <property fmtid="{D5CDD505-2E9C-101B-9397-08002B2CF9AE}" pid="15" name="_SharedFileIndex">
    <vt:lpwstr/>
  </property>
  <property fmtid="{D5CDD505-2E9C-101B-9397-08002B2CF9AE}" pid="16" name="TemplateUrl">
    <vt:lpwstr/>
  </property>
</Properties>
</file>